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D6" w:rsidRPr="002C2B46" w:rsidRDefault="006D55D6" w:rsidP="006D55D6">
      <w:pPr>
        <w:jc w:val="center"/>
        <w:rPr>
          <w:rFonts w:ascii="Arial Narrow" w:hAnsi="Arial Narrow"/>
          <w:b/>
        </w:rPr>
      </w:pPr>
      <w:r w:rsidRPr="002C2B46">
        <w:rPr>
          <w:rFonts w:ascii="Arial Narrow" w:hAnsi="Arial Narrow"/>
          <w:b/>
        </w:rPr>
        <w:t xml:space="preserve">Meeting </w:t>
      </w:r>
      <w:r w:rsidR="000258F2" w:rsidRPr="002C2B46">
        <w:rPr>
          <w:rFonts w:ascii="Arial Narrow" w:hAnsi="Arial Narrow"/>
          <w:b/>
        </w:rPr>
        <w:t>Minutes</w:t>
      </w:r>
    </w:p>
    <w:p w:rsidR="006D55D6" w:rsidRPr="002C2B46" w:rsidRDefault="00097BF3" w:rsidP="006D55D6">
      <w:pPr>
        <w:jc w:val="center"/>
        <w:rPr>
          <w:rFonts w:ascii="Arial Narrow" w:hAnsi="Arial Narrow"/>
        </w:rPr>
      </w:pPr>
      <w:r w:rsidRPr="002C2B46">
        <w:rPr>
          <w:rFonts w:ascii="Arial Narrow" w:hAnsi="Arial Narrow"/>
          <w:b/>
        </w:rPr>
        <w:t>October 25</w:t>
      </w:r>
      <w:r w:rsidR="00C263A8" w:rsidRPr="002C2B46">
        <w:rPr>
          <w:rFonts w:ascii="Arial Narrow" w:hAnsi="Arial Narrow"/>
          <w:b/>
        </w:rPr>
        <w:t>, 2016</w:t>
      </w:r>
    </w:p>
    <w:p w:rsidR="006D55D6" w:rsidRPr="002C2B46" w:rsidRDefault="006D55D6" w:rsidP="006D55D6">
      <w:pPr>
        <w:rPr>
          <w:rFonts w:ascii="Arial Narrow" w:hAnsi="Arial Narrow"/>
        </w:rPr>
      </w:pPr>
    </w:p>
    <w:p w:rsidR="006D55D6" w:rsidRPr="002C2B46" w:rsidRDefault="006D55D6" w:rsidP="006D55D6">
      <w:pPr>
        <w:rPr>
          <w:rFonts w:ascii="Arial Narrow" w:hAnsi="Arial Narrow"/>
        </w:rPr>
      </w:pPr>
      <w:r w:rsidRPr="002C2B46">
        <w:rPr>
          <w:rFonts w:ascii="Arial Narrow" w:hAnsi="Arial Narrow"/>
        </w:rPr>
        <w:t xml:space="preserve">The Federal Motor Carrier Safety Administration’s (FMCSA) </w:t>
      </w:r>
      <w:r w:rsidR="0048250A" w:rsidRPr="002C2B46">
        <w:rPr>
          <w:rFonts w:ascii="Arial Narrow" w:hAnsi="Arial Narrow"/>
        </w:rPr>
        <w:t>Medical Review Board (MRB)</w:t>
      </w:r>
      <w:r w:rsidRPr="002C2B46">
        <w:rPr>
          <w:rFonts w:ascii="Arial Narrow" w:hAnsi="Arial Narrow"/>
        </w:rPr>
        <w:t xml:space="preserve"> met on </w:t>
      </w:r>
      <w:r w:rsidR="007760DD" w:rsidRPr="002C2B46">
        <w:rPr>
          <w:rFonts w:ascii="Arial Narrow" w:hAnsi="Arial Narrow"/>
        </w:rPr>
        <w:t>October 2</w:t>
      </w:r>
      <w:r w:rsidR="00097BF3" w:rsidRPr="002C2B46">
        <w:rPr>
          <w:rFonts w:ascii="Arial Narrow" w:hAnsi="Arial Narrow"/>
        </w:rPr>
        <w:t>5</w:t>
      </w:r>
      <w:r w:rsidRPr="002C2B46">
        <w:rPr>
          <w:rFonts w:ascii="Arial Narrow" w:hAnsi="Arial Narrow"/>
        </w:rPr>
        <w:t>, 201</w:t>
      </w:r>
      <w:r w:rsidR="00097BF3" w:rsidRPr="002C2B46">
        <w:rPr>
          <w:rFonts w:ascii="Arial Narrow" w:hAnsi="Arial Narrow"/>
        </w:rPr>
        <w:t>6</w:t>
      </w:r>
      <w:r w:rsidRPr="002C2B46">
        <w:rPr>
          <w:rFonts w:ascii="Arial Narrow" w:hAnsi="Arial Narrow"/>
        </w:rPr>
        <w:t>, in</w:t>
      </w:r>
      <w:r w:rsidR="007760DD" w:rsidRPr="002C2B46">
        <w:rPr>
          <w:rFonts w:ascii="Arial Narrow" w:hAnsi="Arial Narrow"/>
        </w:rPr>
        <w:t xml:space="preserve"> Washington, DC</w:t>
      </w:r>
      <w:r w:rsidRPr="002C2B46">
        <w:rPr>
          <w:rFonts w:ascii="Arial Narrow" w:hAnsi="Arial Narrow"/>
        </w:rPr>
        <w:t xml:space="preserve">. In accordance with the provisions of Public Law 92-463, the meeting was open to the public. </w:t>
      </w:r>
      <w:r w:rsidR="009E3F9A" w:rsidRPr="002C2B46">
        <w:rPr>
          <w:rFonts w:ascii="Arial Narrow" w:hAnsi="Arial Narrow"/>
        </w:rPr>
        <w:t>G</w:t>
      </w:r>
      <w:r w:rsidR="00C32878" w:rsidRPr="002C2B46">
        <w:rPr>
          <w:rFonts w:ascii="Arial Narrow" w:hAnsi="Arial Narrow"/>
        </w:rPr>
        <w:t>ina Perv</w:t>
      </w:r>
      <w:r w:rsidR="009E3F9A" w:rsidRPr="002C2B46">
        <w:rPr>
          <w:rFonts w:ascii="Arial Narrow" w:hAnsi="Arial Narrow"/>
        </w:rPr>
        <w:t>all, M</w:t>
      </w:r>
      <w:r w:rsidR="00007D05" w:rsidRPr="002C2B46">
        <w:rPr>
          <w:rFonts w:ascii="Arial Narrow" w:hAnsi="Arial Narrow"/>
        </w:rPr>
        <w:t>.</w:t>
      </w:r>
      <w:r w:rsidR="009E3F9A" w:rsidRPr="002C2B46">
        <w:rPr>
          <w:rFonts w:ascii="Arial Narrow" w:hAnsi="Arial Narrow"/>
        </w:rPr>
        <w:t>D</w:t>
      </w:r>
      <w:r w:rsidR="00007D05" w:rsidRPr="002C2B46">
        <w:rPr>
          <w:rFonts w:ascii="Arial Narrow" w:hAnsi="Arial Narrow"/>
        </w:rPr>
        <w:t>.</w:t>
      </w:r>
      <w:r w:rsidRPr="002C2B46">
        <w:rPr>
          <w:rFonts w:ascii="Arial Narrow" w:hAnsi="Arial Narrow"/>
        </w:rPr>
        <w:t xml:space="preserve">, </w:t>
      </w:r>
      <w:r w:rsidR="00115860" w:rsidRPr="002C2B46">
        <w:rPr>
          <w:rFonts w:ascii="Arial Narrow" w:hAnsi="Arial Narrow"/>
        </w:rPr>
        <w:t>MRB</w:t>
      </w:r>
      <w:r w:rsidRPr="002C2B46">
        <w:rPr>
          <w:rFonts w:ascii="Arial Narrow" w:hAnsi="Arial Narrow"/>
        </w:rPr>
        <w:t xml:space="preserve"> Chairman, called the meeting to order at </w:t>
      </w:r>
      <w:r w:rsidR="00C263A8" w:rsidRPr="002C2B46">
        <w:rPr>
          <w:rFonts w:ascii="Arial Narrow" w:hAnsi="Arial Narrow"/>
        </w:rPr>
        <w:t>10</w:t>
      </w:r>
      <w:r w:rsidRPr="002C2B46">
        <w:rPr>
          <w:rFonts w:ascii="Arial Narrow" w:hAnsi="Arial Narrow"/>
        </w:rPr>
        <w:t>:</w:t>
      </w:r>
      <w:r w:rsidR="00C263A8" w:rsidRPr="002C2B46">
        <w:rPr>
          <w:rFonts w:ascii="Arial Narrow" w:hAnsi="Arial Narrow"/>
        </w:rPr>
        <w:t>39</w:t>
      </w:r>
      <w:r w:rsidRPr="002C2B46">
        <w:rPr>
          <w:rFonts w:ascii="Arial Narrow" w:hAnsi="Arial Narrow"/>
        </w:rPr>
        <w:t xml:space="preserve"> a</w:t>
      </w:r>
      <w:r w:rsidR="0048250A" w:rsidRPr="002C2B46">
        <w:rPr>
          <w:rFonts w:ascii="Arial Narrow" w:hAnsi="Arial Narrow"/>
        </w:rPr>
        <w:t>.</w:t>
      </w:r>
      <w:r w:rsidRPr="002C2B46">
        <w:rPr>
          <w:rFonts w:ascii="Arial Narrow" w:hAnsi="Arial Narrow"/>
        </w:rPr>
        <w:t xml:space="preserve">m. </w:t>
      </w:r>
      <w:r w:rsidR="0048250A" w:rsidRPr="002C2B46">
        <w:rPr>
          <w:rFonts w:ascii="Arial Narrow" w:hAnsi="Arial Narrow"/>
        </w:rPr>
        <w:t>on Tuesday, October 25.</w:t>
      </w:r>
    </w:p>
    <w:p w:rsidR="006D55D6" w:rsidRPr="002C2B46" w:rsidRDefault="006D55D6" w:rsidP="006D55D6">
      <w:pPr>
        <w:rPr>
          <w:rFonts w:ascii="Arial Narrow" w:hAnsi="Arial Narrow"/>
        </w:rPr>
      </w:pPr>
    </w:p>
    <w:p w:rsidR="006D55D6" w:rsidRPr="002C2B46" w:rsidRDefault="006D55D6" w:rsidP="006D55D6">
      <w:pPr>
        <w:rPr>
          <w:rFonts w:ascii="Arial Narrow" w:hAnsi="Arial Narrow"/>
        </w:rPr>
      </w:pPr>
      <w:r w:rsidRPr="002C2B46">
        <w:rPr>
          <w:rFonts w:ascii="Arial Narrow" w:hAnsi="Arial Narrow"/>
        </w:rPr>
        <w:t>The following individuals attended the meeting:</w:t>
      </w:r>
    </w:p>
    <w:p w:rsidR="006D55D6" w:rsidRPr="002C2B46" w:rsidRDefault="006D55D6" w:rsidP="006D55D6">
      <w:pPr>
        <w:rPr>
          <w:rFonts w:ascii="Arial Narrow" w:hAnsi="Arial Narrow"/>
        </w:rPr>
      </w:pPr>
    </w:p>
    <w:p w:rsidR="006D55D6" w:rsidRPr="002C2B46" w:rsidRDefault="006D55D6" w:rsidP="006D55D6">
      <w:pPr>
        <w:rPr>
          <w:rFonts w:ascii="Arial Narrow" w:hAnsi="Arial Narrow"/>
          <w:b/>
        </w:rPr>
      </w:pPr>
      <w:r w:rsidRPr="002C2B46">
        <w:rPr>
          <w:rFonts w:ascii="Arial Narrow" w:hAnsi="Arial Narrow"/>
          <w:b/>
        </w:rPr>
        <w:t>M</w:t>
      </w:r>
      <w:r w:rsidR="00115860" w:rsidRPr="002C2B46">
        <w:rPr>
          <w:rFonts w:ascii="Arial Narrow" w:hAnsi="Arial Narrow"/>
          <w:b/>
        </w:rPr>
        <w:t>RB</w:t>
      </w:r>
      <w:r w:rsidRPr="002C2B46">
        <w:rPr>
          <w:rFonts w:ascii="Arial Narrow" w:hAnsi="Arial Narrow"/>
          <w:b/>
        </w:rPr>
        <w:t xml:space="preserve"> COMMITTEE MEMBERS</w:t>
      </w:r>
    </w:p>
    <w:p w:rsidR="0048250A" w:rsidRPr="002C2B46" w:rsidRDefault="0048250A" w:rsidP="0048250A">
      <w:pPr>
        <w:rPr>
          <w:rFonts w:ascii="Arial Narrow" w:hAnsi="Arial Narrow"/>
        </w:rPr>
      </w:pPr>
      <w:r w:rsidRPr="002C2B46">
        <w:rPr>
          <w:rFonts w:ascii="Arial Narrow" w:hAnsi="Arial Narrow"/>
        </w:rPr>
        <w:t>Gina C. Pervall, M.D., C.I.M.E., Chairman</w:t>
      </w:r>
    </w:p>
    <w:p w:rsidR="0048250A" w:rsidRPr="002C2B46" w:rsidRDefault="0048250A" w:rsidP="0048250A">
      <w:pPr>
        <w:rPr>
          <w:rFonts w:ascii="Arial Narrow" w:hAnsi="Arial Narrow"/>
        </w:rPr>
      </w:pPr>
      <w:r w:rsidRPr="002C2B46">
        <w:rPr>
          <w:rFonts w:ascii="Arial Narrow" w:hAnsi="Arial Narrow"/>
        </w:rPr>
        <w:t>Christine M. Cisneros, M.D., M.P.H., Ph.D.</w:t>
      </w:r>
    </w:p>
    <w:p w:rsidR="0048250A" w:rsidRPr="002C2B46" w:rsidRDefault="0048250A" w:rsidP="0048250A">
      <w:pPr>
        <w:rPr>
          <w:rFonts w:ascii="Arial Narrow" w:hAnsi="Arial Narrow"/>
        </w:rPr>
      </w:pPr>
      <w:r w:rsidRPr="002C2B46">
        <w:rPr>
          <w:rFonts w:ascii="Arial Narrow" w:hAnsi="Arial Narrow"/>
        </w:rPr>
        <w:t>Michael T. Kelley, M.D., M.P.H.</w:t>
      </w:r>
    </w:p>
    <w:p w:rsidR="0048250A" w:rsidRPr="002C2B46" w:rsidRDefault="0048250A" w:rsidP="0048250A">
      <w:pPr>
        <w:rPr>
          <w:rFonts w:ascii="Arial Narrow" w:hAnsi="Arial Narrow"/>
        </w:rPr>
      </w:pPr>
      <w:r w:rsidRPr="002C2B46">
        <w:rPr>
          <w:rFonts w:ascii="Arial Narrow" w:hAnsi="Arial Narrow"/>
        </w:rPr>
        <w:t>Brian T. Morris, M.D., J.D., M.B.A., M.P.H.</w:t>
      </w:r>
    </w:p>
    <w:p w:rsidR="00257F71" w:rsidRPr="002C2B46" w:rsidRDefault="0048250A" w:rsidP="00257F71">
      <w:pPr>
        <w:rPr>
          <w:rFonts w:ascii="Arial Narrow" w:hAnsi="Arial Narrow"/>
        </w:rPr>
      </w:pPr>
      <w:r w:rsidRPr="002C2B46">
        <w:rPr>
          <w:rFonts w:ascii="Arial Narrow" w:hAnsi="Arial Narrow"/>
        </w:rPr>
        <w:t>Albert James Osbahr, III, M.D., M.S.</w:t>
      </w:r>
    </w:p>
    <w:p w:rsidR="006D55D6" w:rsidRPr="002C2B46" w:rsidRDefault="006D55D6" w:rsidP="006D55D6">
      <w:pPr>
        <w:rPr>
          <w:rFonts w:ascii="Arial Narrow" w:hAnsi="Arial Narrow"/>
        </w:rPr>
      </w:pPr>
    </w:p>
    <w:p w:rsidR="00004494" w:rsidRPr="002C2B46" w:rsidRDefault="00004494" w:rsidP="00004494">
      <w:pPr>
        <w:ind w:left="360" w:hanging="360"/>
        <w:rPr>
          <w:rFonts w:ascii="Arial Narrow" w:hAnsi="Arial Narrow"/>
          <w:b/>
        </w:rPr>
      </w:pPr>
      <w:r w:rsidRPr="002C2B46">
        <w:rPr>
          <w:rFonts w:ascii="Arial Narrow" w:hAnsi="Arial Narrow"/>
          <w:b/>
        </w:rPr>
        <w:t>FMCSA AND OTHER GOVERNMENTAL REPRESENTATIVES</w:t>
      </w:r>
    </w:p>
    <w:p w:rsidR="00647CEB" w:rsidRPr="002C2B46" w:rsidRDefault="00647CEB" w:rsidP="00647CEB">
      <w:pPr>
        <w:widowControl w:val="0"/>
        <w:rPr>
          <w:rFonts w:ascii="Arial Narrow" w:hAnsi="Arial Narrow"/>
        </w:rPr>
      </w:pPr>
      <w:r w:rsidRPr="002C2B46">
        <w:rPr>
          <w:rFonts w:ascii="Arial Narrow" w:hAnsi="Arial Narrow"/>
        </w:rPr>
        <w:t>Angie Byrne, M.P.H., M.C.H.E.S., C.P.H., U</w:t>
      </w:r>
      <w:r w:rsidR="00624051">
        <w:rPr>
          <w:rFonts w:ascii="Arial Narrow" w:hAnsi="Arial Narrow"/>
        </w:rPr>
        <w:t>nited States Department of Transportation</w:t>
      </w:r>
      <w:r w:rsidRPr="002C2B46">
        <w:rPr>
          <w:rFonts w:ascii="Arial Narrow" w:hAnsi="Arial Narrow"/>
        </w:rPr>
        <w:t>, Volpe Center</w:t>
      </w:r>
    </w:p>
    <w:p w:rsidR="00647CEB" w:rsidRPr="002C2B46" w:rsidRDefault="00647CEB" w:rsidP="00647CEB">
      <w:pPr>
        <w:rPr>
          <w:rFonts w:ascii="Arial Narrow" w:hAnsi="Arial Narrow"/>
        </w:rPr>
      </w:pPr>
      <w:r w:rsidRPr="002C2B46">
        <w:rPr>
          <w:rFonts w:ascii="Arial Narrow" w:hAnsi="Arial Narrow"/>
        </w:rPr>
        <w:t>Christine Hydock, Chief, Medical Programs Division, Office of Policy, FMCSA</w:t>
      </w:r>
    </w:p>
    <w:p w:rsidR="00647CEB" w:rsidRPr="002C2B46" w:rsidRDefault="00647CEB" w:rsidP="00647CEB">
      <w:pPr>
        <w:widowControl w:val="0"/>
        <w:rPr>
          <w:rFonts w:ascii="Arial Narrow" w:hAnsi="Arial Narrow"/>
        </w:rPr>
      </w:pPr>
      <w:r w:rsidRPr="002C2B46">
        <w:rPr>
          <w:rFonts w:ascii="Arial Narrow" w:hAnsi="Arial Narrow"/>
        </w:rPr>
        <w:t>Eran Segev, U</w:t>
      </w:r>
      <w:r w:rsidR="00624051">
        <w:rPr>
          <w:rFonts w:ascii="Arial Narrow" w:hAnsi="Arial Narrow"/>
        </w:rPr>
        <w:t xml:space="preserve">nited </w:t>
      </w:r>
      <w:r w:rsidRPr="002C2B46">
        <w:rPr>
          <w:rFonts w:ascii="Arial Narrow" w:hAnsi="Arial Narrow"/>
        </w:rPr>
        <w:t>S</w:t>
      </w:r>
      <w:r w:rsidR="00624051">
        <w:rPr>
          <w:rFonts w:ascii="Arial Narrow" w:hAnsi="Arial Narrow"/>
        </w:rPr>
        <w:t xml:space="preserve">tates </w:t>
      </w:r>
      <w:r w:rsidRPr="002C2B46">
        <w:rPr>
          <w:rFonts w:ascii="Arial Narrow" w:hAnsi="Arial Narrow"/>
        </w:rPr>
        <w:t>D</w:t>
      </w:r>
      <w:r w:rsidR="00624051">
        <w:rPr>
          <w:rFonts w:ascii="Arial Narrow" w:hAnsi="Arial Narrow"/>
        </w:rPr>
        <w:t xml:space="preserve">epartment of </w:t>
      </w:r>
      <w:r w:rsidRPr="002C2B46">
        <w:rPr>
          <w:rFonts w:ascii="Arial Narrow" w:hAnsi="Arial Narrow"/>
        </w:rPr>
        <w:t>T</w:t>
      </w:r>
      <w:r w:rsidR="00624051">
        <w:rPr>
          <w:rFonts w:ascii="Arial Narrow" w:hAnsi="Arial Narrow"/>
        </w:rPr>
        <w:t>ransportation</w:t>
      </w:r>
      <w:r w:rsidRPr="002C2B46">
        <w:rPr>
          <w:rFonts w:ascii="Arial Narrow" w:hAnsi="Arial Narrow"/>
        </w:rPr>
        <w:t>, Volpe Center</w:t>
      </w:r>
    </w:p>
    <w:p w:rsidR="00004494" w:rsidRPr="002C2B46" w:rsidRDefault="000258F2" w:rsidP="00004494">
      <w:pPr>
        <w:widowControl w:val="0"/>
        <w:rPr>
          <w:rFonts w:ascii="Arial Narrow" w:hAnsi="Arial Narrow"/>
        </w:rPr>
      </w:pPr>
      <w:r w:rsidRPr="002C2B46">
        <w:rPr>
          <w:rFonts w:ascii="Arial Narrow" w:hAnsi="Arial Narrow"/>
        </w:rPr>
        <w:t>Shannon Watson, Senior Advisor and D</w:t>
      </w:r>
      <w:r w:rsidR="00B84615">
        <w:rPr>
          <w:rFonts w:ascii="Arial Narrow" w:hAnsi="Arial Narrow"/>
        </w:rPr>
        <w:t xml:space="preserve">esignated </w:t>
      </w:r>
      <w:r w:rsidRPr="002C2B46">
        <w:rPr>
          <w:rFonts w:ascii="Arial Narrow" w:hAnsi="Arial Narrow"/>
        </w:rPr>
        <w:t>F</w:t>
      </w:r>
      <w:r w:rsidR="00B84615">
        <w:rPr>
          <w:rFonts w:ascii="Arial Narrow" w:hAnsi="Arial Narrow"/>
        </w:rPr>
        <w:t xml:space="preserve">ederal </w:t>
      </w:r>
      <w:r w:rsidRPr="002C2B46">
        <w:rPr>
          <w:rFonts w:ascii="Arial Narrow" w:hAnsi="Arial Narrow"/>
        </w:rPr>
        <w:t>O</w:t>
      </w:r>
      <w:r w:rsidR="00B84615">
        <w:rPr>
          <w:rFonts w:ascii="Arial Narrow" w:hAnsi="Arial Narrow"/>
        </w:rPr>
        <w:t>fficer</w:t>
      </w:r>
      <w:r w:rsidRPr="002C2B46">
        <w:rPr>
          <w:rFonts w:ascii="Arial Narrow" w:hAnsi="Arial Narrow"/>
        </w:rPr>
        <w:t xml:space="preserve">, FMCSA </w:t>
      </w:r>
    </w:p>
    <w:p w:rsidR="0048250A" w:rsidRPr="002C2B46" w:rsidRDefault="0048250A" w:rsidP="00004494">
      <w:pPr>
        <w:widowControl w:val="0"/>
        <w:jc w:val="both"/>
        <w:rPr>
          <w:rFonts w:ascii="Arial Narrow" w:hAnsi="Arial Narrow"/>
          <w:b/>
        </w:rPr>
      </w:pPr>
    </w:p>
    <w:p w:rsidR="00004494" w:rsidRPr="002C2B46" w:rsidRDefault="00004494" w:rsidP="00004494">
      <w:pPr>
        <w:widowControl w:val="0"/>
        <w:jc w:val="both"/>
        <w:rPr>
          <w:rFonts w:ascii="Arial Narrow" w:hAnsi="Arial Narrow"/>
          <w:b/>
        </w:rPr>
      </w:pPr>
      <w:r w:rsidRPr="002C2B46">
        <w:rPr>
          <w:rFonts w:ascii="Arial Narrow" w:hAnsi="Arial Narrow"/>
          <w:b/>
        </w:rPr>
        <w:t>OTHER ATTENDEES</w:t>
      </w:r>
    </w:p>
    <w:p w:rsidR="00B10A6F" w:rsidRPr="002C2B46" w:rsidRDefault="007760DD" w:rsidP="00004494">
      <w:pPr>
        <w:widowControl w:val="0"/>
        <w:jc w:val="both"/>
        <w:rPr>
          <w:rFonts w:ascii="Arial Narrow" w:hAnsi="Arial Narrow"/>
        </w:rPr>
      </w:pPr>
      <w:r w:rsidRPr="002C2B46">
        <w:rPr>
          <w:rFonts w:ascii="Arial Narrow" w:hAnsi="Arial Narrow"/>
        </w:rPr>
        <w:t>Morgan Nash, Volpe Center</w:t>
      </w:r>
    </w:p>
    <w:p w:rsidR="00B003F0" w:rsidRPr="002C2B46" w:rsidRDefault="00B003F0" w:rsidP="00004494">
      <w:pPr>
        <w:widowControl w:val="0"/>
        <w:jc w:val="both"/>
        <w:rPr>
          <w:rFonts w:ascii="Arial Narrow" w:hAnsi="Arial Narrow"/>
        </w:rPr>
      </w:pPr>
      <w:r w:rsidRPr="002C2B46">
        <w:rPr>
          <w:rFonts w:ascii="Arial Narrow" w:hAnsi="Arial Narrow"/>
        </w:rPr>
        <w:t>Jeff Moller, Association of American Railroads</w:t>
      </w:r>
    </w:p>
    <w:p w:rsidR="00B003F0" w:rsidRPr="002C2B46" w:rsidRDefault="00B003F0" w:rsidP="00004494">
      <w:pPr>
        <w:widowControl w:val="0"/>
        <w:jc w:val="both"/>
        <w:rPr>
          <w:rFonts w:ascii="Arial Narrow" w:hAnsi="Arial Narrow"/>
        </w:rPr>
      </w:pPr>
      <w:r w:rsidRPr="002C2B46">
        <w:rPr>
          <w:rFonts w:ascii="Arial Narrow" w:hAnsi="Arial Narrow"/>
        </w:rPr>
        <w:t>Keith Charles, National Motor Freight Traffic Association</w:t>
      </w:r>
    </w:p>
    <w:p w:rsidR="00B003F0" w:rsidRPr="002C2B46" w:rsidRDefault="00B003F0" w:rsidP="00004494">
      <w:pPr>
        <w:widowControl w:val="0"/>
        <w:jc w:val="both"/>
        <w:rPr>
          <w:rFonts w:ascii="Arial Narrow" w:hAnsi="Arial Narrow"/>
        </w:rPr>
      </w:pPr>
      <w:r w:rsidRPr="002C2B46">
        <w:rPr>
          <w:rFonts w:ascii="Arial Narrow" w:hAnsi="Arial Narrow"/>
        </w:rPr>
        <w:t>Jay Grimes, Owner</w:t>
      </w:r>
      <w:r w:rsidR="00DC0FA7">
        <w:rPr>
          <w:rFonts w:ascii="Arial Narrow" w:hAnsi="Arial Narrow"/>
        </w:rPr>
        <w:t>-</w:t>
      </w:r>
      <w:r w:rsidRPr="002C2B46">
        <w:rPr>
          <w:rFonts w:ascii="Arial Narrow" w:hAnsi="Arial Narrow"/>
        </w:rPr>
        <w:t>Operator Independent Drivers Association</w:t>
      </w:r>
    </w:p>
    <w:p w:rsidR="00B10A6F" w:rsidRPr="002C2B46" w:rsidRDefault="00B10A6F" w:rsidP="00004494">
      <w:pPr>
        <w:widowControl w:val="0"/>
        <w:jc w:val="both"/>
        <w:rPr>
          <w:rFonts w:ascii="Arial Narrow" w:hAnsi="Arial Narrow"/>
        </w:rPr>
      </w:pPr>
    </w:p>
    <w:p w:rsidR="006D55D6" w:rsidRPr="002C2B46" w:rsidRDefault="00A25CE0" w:rsidP="006D55D6">
      <w:pPr>
        <w:rPr>
          <w:rFonts w:ascii="Arial Narrow" w:hAnsi="Arial Narrow"/>
          <w:b/>
        </w:rPr>
      </w:pPr>
      <w:r w:rsidRPr="002C2B46">
        <w:rPr>
          <w:rFonts w:ascii="Arial Narrow" w:hAnsi="Arial Narrow"/>
          <w:b/>
        </w:rPr>
        <w:t>R</w:t>
      </w:r>
      <w:r w:rsidR="006D55D6" w:rsidRPr="002C2B46">
        <w:rPr>
          <w:rFonts w:ascii="Arial Narrow" w:hAnsi="Arial Narrow"/>
          <w:b/>
        </w:rPr>
        <w:t>EMARKS AND COMMITTEE ACTION</w:t>
      </w:r>
    </w:p>
    <w:p w:rsidR="006D55D6" w:rsidRPr="002C2B46" w:rsidRDefault="00BB3FCF" w:rsidP="006D55D6">
      <w:pPr>
        <w:keepNext/>
        <w:keepLines/>
        <w:spacing w:after="200"/>
        <w:ind w:right="634"/>
        <w:rPr>
          <w:rFonts w:ascii="Arial Narrow" w:hAnsi="Arial Narrow"/>
        </w:rPr>
      </w:pPr>
      <w:r w:rsidRPr="002C2B46">
        <w:rPr>
          <w:rFonts w:ascii="Arial Narrow" w:hAnsi="Arial Narrow"/>
        </w:rPr>
        <w:t xml:space="preserve">The </w:t>
      </w:r>
      <w:r w:rsidR="00115860" w:rsidRPr="002C2B46">
        <w:rPr>
          <w:rFonts w:ascii="Arial Narrow" w:hAnsi="Arial Narrow"/>
        </w:rPr>
        <w:t>MRB</w:t>
      </w:r>
      <w:r w:rsidR="00825820" w:rsidRPr="002C2B46">
        <w:rPr>
          <w:rFonts w:ascii="Arial Narrow" w:hAnsi="Arial Narrow"/>
        </w:rPr>
        <w:t xml:space="preserve"> meeting minutes </w:t>
      </w:r>
      <w:r w:rsidR="005B7C92" w:rsidRPr="002C2B46">
        <w:rPr>
          <w:rFonts w:ascii="Arial Narrow" w:hAnsi="Arial Narrow"/>
        </w:rPr>
        <w:t>from</w:t>
      </w:r>
      <w:r w:rsidR="00C065D7" w:rsidRPr="002C2B46">
        <w:rPr>
          <w:rFonts w:ascii="Arial Narrow" w:hAnsi="Arial Narrow"/>
        </w:rPr>
        <w:t xml:space="preserve"> August 22-23</w:t>
      </w:r>
      <w:r w:rsidR="007760DD" w:rsidRPr="002C2B46">
        <w:rPr>
          <w:rFonts w:ascii="Arial Narrow" w:hAnsi="Arial Narrow"/>
        </w:rPr>
        <w:t>, 2016</w:t>
      </w:r>
      <w:r w:rsidR="00C065D7" w:rsidRPr="002C2B46">
        <w:rPr>
          <w:rFonts w:ascii="Arial Narrow" w:hAnsi="Arial Narrow"/>
        </w:rPr>
        <w:t>,</w:t>
      </w:r>
      <w:r w:rsidR="004E1E76" w:rsidRPr="004E1E76">
        <w:rPr>
          <w:rFonts w:ascii="Arial Narrow" w:hAnsi="Arial Narrow"/>
        </w:rPr>
        <w:t xml:space="preserve"> </w:t>
      </w:r>
      <w:r w:rsidR="004E1E76" w:rsidRPr="002C2B46">
        <w:rPr>
          <w:rFonts w:ascii="Arial Narrow" w:hAnsi="Arial Narrow"/>
        </w:rPr>
        <w:t>were approved</w:t>
      </w:r>
      <w:r w:rsidRPr="002C2B46">
        <w:rPr>
          <w:rFonts w:ascii="Arial Narrow" w:hAnsi="Arial Narrow"/>
        </w:rPr>
        <w:t>.</w:t>
      </w:r>
      <w:r w:rsidR="007760DD" w:rsidRPr="002C2B46">
        <w:rPr>
          <w:rFonts w:ascii="Arial Narrow" w:hAnsi="Arial Narrow"/>
        </w:rPr>
        <w:t xml:space="preserve"> </w:t>
      </w:r>
    </w:p>
    <w:p w:rsidR="00A9475E" w:rsidRPr="002C2B46" w:rsidRDefault="007760DD" w:rsidP="00A9475E">
      <w:pPr>
        <w:widowControl w:val="0"/>
        <w:spacing w:after="200"/>
        <w:ind w:right="634"/>
        <w:rPr>
          <w:rFonts w:ascii="Arial Narrow" w:hAnsi="Arial Narrow"/>
          <w:b/>
        </w:rPr>
      </w:pPr>
      <w:r w:rsidRPr="002C2B46">
        <w:rPr>
          <w:rFonts w:ascii="Arial Narrow" w:hAnsi="Arial Narrow"/>
          <w:b/>
        </w:rPr>
        <w:t>1</w:t>
      </w:r>
      <w:r w:rsidR="00A8143D" w:rsidRPr="002C2B46">
        <w:rPr>
          <w:rFonts w:ascii="Arial Narrow" w:hAnsi="Arial Narrow"/>
          <w:b/>
        </w:rPr>
        <w:t xml:space="preserve">. </w:t>
      </w:r>
      <w:r w:rsidR="00857C1E" w:rsidRPr="002C2B46">
        <w:rPr>
          <w:rFonts w:ascii="Arial Narrow" w:hAnsi="Arial Narrow"/>
          <w:b/>
        </w:rPr>
        <w:t xml:space="preserve">Discussion on FDA Warnings on Narcotics and Benzodiazepines and Incorporation into Medical Examiner Forms: Al Osbahr </w:t>
      </w:r>
      <w:r w:rsidR="00E57D49" w:rsidRPr="002C2B46">
        <w:rPr>
          <w:rFonts w:ascii="Arial Narrow" w:hAnsi="Arial Narrow"/>
          <w:b/>
        </w:rPr>
        <w:t xml:space="preserve">III, </w:t>
      </w:r>
      <w:r w:rsidR="00857C1E" w:rsidRPr="002C2B46">
        <w:rPr>
          <w:rFonts w:ascii="Arial Narrow" w:hAnsi="Arial Narrow"/>
          <w:b/>
        </w:rPr>
        <w:t>M</w:t>
      </w:r>
      <w:r w:rsidR="00E57D49" w:rsidRPr="002C2B46">
        <w:rPr>
          <w:rFonts w:ascii="Arial Narrow" w:hAnsi="Arial Narrow"/>
          <w:b/>
        </w:rPr>
        <w:t>.</w:t>
      </w:r>
      <w:r w:rsidR="00857C1E" w:rsidRPr="002C2B46">
        <w:rPr>
          <w:rFonts w:ascii="Arial Narrow" w:hAnsi="Arial Narrow"/>
          <w:b/>
        </w:rPr>
        <w:t>D</w:t>
      </w:r>
      <w:r w:rsidR="00E57D49" w:rsidRPr="002C2B46">
        <w:rPr>
          <w:rFonts w:ascii="Arial Narrow" w:hAnsi="Arial Narrow"/>
          <w:b/>
        </w:rPr>
        <w:t>.</w:t>
      </w:r>
    </w:p>
    <w:p w:rsidR="00857C1E" w:rsidRPr="002C2B46" w:rsidRDefault="00732C97" w:rsidP="00857C1E">
      <w:pPr>
        <w:widowControl w:val="0"/>
        <w:ind w:right="634"/>
        <w:rPr>
          <w:rFonts w:ascii="Arial Narrow" w:hAnsi="Arial Narrow"/>
        </w:rPr>
      </w:pPr>
      <w:r w:rsidRPr="002C2B46">
        <w:rPr>
          <w:rFonts w:ascii="Arial Narrow" w:hAnsi="Arial Narrow"/>
        </w:rPr>
        <w:t>Dr. Albert Osbahr III presented concern</w:t>
      </w:r>
      <w:r w:rsidR="004E1E76">
        <w:rPr>
          <w:rFonts w:ascii="Arial Narrow" w:hAnsi="Arial Narrow"/>
        </w:rPr>
        <w:t>s</w:t>
      </w:r>
      <w:r w:rsidRPr="002C2B46">
        <w:rPr>
          <w:rFonts w:ascii="Arial Narrow" w:hAnsi="Arial Narrow"/>
        </w:rPr>
        <w:t xml:space="preserve"> </w:t>
      </w:r>
      <w:r w:rsidR="004E1E76">
        <w:rPr>
          <w:rFonts w:ascii="Arial Narrow" w:hAnsi="Arial Narrow"/>
        </w:rPr>
        <w:t>about</w:t>
      </w:r>
      <w:r w:rsidR="004E1E76" w:rsidRPr="002C2B46">
        <w:rPr>
          <w:rFonts w:ascii="Arial Narrow" w:hAnsi="Arial Narrow"/>
        </w:rPr>
        <w:t xml:space="preserve"> </w:t>
      </w:r>
      <w:r w:rsidR="00635F97" w:rsidRPr="002C2B46">
        <w:rPr>
          <w:rFonts w:ascii="Arial Narrow" w:hAnsi="Arial Narrow"/>
        </w:rPr>
        <w:t xml:space="preserve">incorporating the </w:t>
      </w:r>
      <w:r w:rsidR="00C26D6F">
        <w:rPr>
          <w:rFonts w:ascii="Arial Narrow" w:hAnsi="Arial Narrow"/>
        </w:rPr>
        <w:t>Food and Drug Administration’s (</w:t>
      </w:r>
      <w:r w:rsidR="00635F97" w:rsidRPr="002C2B46">
        <w:rPr>
          <w:rFonts w:ascii="Arial Narrow" w:hAnsi="Arial Narrow"/>
        </w:rPr>
        <w:t>FDA</w:t>
      </w:r>
      <w:r w:rsidR="00C26D6F">
        <w:rPr>
          <w:rFonts w:ascii="Arial Narrow" w:hAnsi="Arial Narrow"/>
        </w:rPr>
        <w:t>)</w:t>
      </w:r>
      <w:r w:rsidR="00635F97" w:rsidRPr="002C2B46">
        <w:rPr>
          <w:rFonts w:ascii="Arial Narrow" w:hAnsi="Arial Narrow"/>
        </w:rPr>
        <w:t xml:space="preserve"> warnings on narcotics and benzodiazepines into medical examiner forms. Currently, the form is in </w:t>
      </w:r>
      <w:r w:rsidR="00904CAC" w:rsidRPr="002C2B46">
        <w:rPr>
          <w:rFonts w:ascii="Arial Narrow" w:hAnsi="Arial Narrow"/>
        </w:rPr>
        <w:t>the process of</w:t>
      </w:r>
      <w:r w:rsidR="00635F97" w:rsidRPr="002C2B46">
        <w:rPr>
          <w:rFonts w:ascii="Arial Narrow" w:hAnsi="Arial Narrow"/>
        </w:rPr>
        <w:t xml:space="preserve"> final OMB approval.</w:t>
      </w:r>
      <w:r w:rsidR="00904CAC" w:rsidRPr="002C2B46">
        <w:rPr>
          <w:rFonts w:ascii="Arial Narrow" w:hAnsi="Arial Narrow"/>
        </w:rPr>
        <w:t xml:space="preserve"> </w:t>
      </w:r>
    </w:p>
    <w:p w:rsidR="00732C97" w:rsidRPr="002C2B46" w:rsidRDefault="00732C97" w:rsidP="00857C1E">
      <w:pPr>
        <w:widowControl w:val="0"/>
        <w:ind w:right="634"/>
        <w:rPr>
          <w:rFonts w:ascii="Arial Narrow" w:hAnsi="Arial Narrow"/>
        </w:rPr>
      </w:pPr>
    </w:p>
    <w:p w:rsidR="00857C1E" w:rsidRPr="002C2B46" w:rsidRDefault="00857C1E" w:rsidP="00857C1E">
      <w:pPr>
        <w:widowControl w:val="0"/>
        <w:ind w:right="634"/>
        <w:rPr>
          <w:rFonts w:ascii="Arial Narrow" w:hAnsi="Arial Narrow"/>
          <w:u w:val="single"/>
        </w:rPr>
      </w:pPr>
      <w:r w:rsidRPr="002C2B46">
        <w:rPr>
          <w:rFonts w:ascii="Arial Narrow" w:hAnsi="Arial Narrow"/>
          <w:u w:val="single"/>
        </w:rPr>
        <w:t xml:space="preserve">Discussion </w:t>
      </w:r>
      <w:r w:rsidR="005412AB" w:rsidRPr="002C2B46">
        <w:rPr>
          <w:rFonts w:ascii="Arial Narrow" w:hAnsi="Arial Narrow"/>
          <w:u w:val="single"/>
        </w:rPr>
        <w:t>P</w:t>
      </w:r>
      <w:r w:rsidRPr="002C2B46">
        <w:rPr>
          <w:rFonts w:ascii="Arial Narrow" w:hAnsi="Arial Narrow"/>
          <w:u w:val="single"/>
        </w:rPr>
        <w:t>oints</w:t>
      </w:r>
    </w:p>
    <w:p w:rsidR="005412AB" w:rsidRPr="002C2B46" w:rsidRDefault="005412AB" w:rsidP="005412AB">
      <w:pPr>
        <w:rPr>
          <w:rFonts w:ascii="Arial Narrow" w:hAnsi="Arial Narrow"/>
        </w:rPr>
      </w:pPr>
    </w:p>
    <w:p w:rsidR="005412AB" w:rsidRPr="002C2B46" w:rsidRDefault="005412AB" w:rsidP="005412AB">
      <w:pPr>
        <w:pStyle w:val="ListParagraph"/>
        <w:numPr>
          <w:ilvl w:val="0"/>
          <w:numId w:val="40"/>
        </w:numPr>
        <w:rPr>
          <w:rFonts w:ascii="Arial Narrow" w:hAnsi="Arial Narrow"/>
        </w:rPr>
      </w:pPr>
      <w:r w:rsidRPr="002C2B46">
        <w:rPr>
          <w:rFonts w:ascii="Arial Narrow" w:hAnsi="Arial Narrow"/>
        </w:rPr>
        <w:t>The concern</w:t>
      </w:r>
      <w:r w:rsidR="00C26D6F">
        <w:rPr>
          <w:rFonts w:ascii="Arial Narrow" w:hAnsi="Arial Narrow"/>
        </w:rPr>
        <w:t>s</w:t>
      </w:r>
      <w:r w:rsidRPr="002C2B46">
        <w:rPr>
          <w:rFonts w:ascii="Arial Narrow" w:hAnsi="Arial Narrow"/>
        </w:rPr>
        <w:t xml:space="preserve"> </w:t>
      </w:r>
      <w:r w:rsidR="00C26D6F">
        <w:rPr>
          <w:rFonts w:ascii="Arial Narrow" w:hAnsi="Arial Narrow"/>
        </w:rPr>
        <w:t>about</w:t>
      </w:r>
      <w:r w:rsidR="00C26D6F" w:rsidRPr="002C2B46">
        <w:rPr>
          <w:rFonts w:ascii="Arial Narrow" w:hAnsi="Arial Narrow"/>
        </w:rPr>
        <w:t xml:space="preserve"> </w:t>
      </w:r>
      <w:r w:rsidRPr="002C2B46">
        <w:rPr>
          <w:rFonts w:ascii="Arial Narrow" w:hAnsi="Arial Narrow"/>
        </w:rPr>
        <w:t xml:space="preserve">narcotics, benzodiazepines, and muscle relaxers </w:t>
      </w:r>
      <w:r w:rsidR="00C26D6F">
        <w:rPr>
          <w:rFonts w:ascii="Arial Narrow" w:hAnsi="Arial Narrow"/>
        </w:rPr>
        <w:t>are</w:t>
      </w:r>
      <w:r w:rsidR="00C26D6F" w:rsidRPr="002C2B46">
        <w:rPr>
          <w:rFonts w:ascii="Arial Narrow" w:hAnsi="Arial Narrow"/>
        </w:rPr>
        <w:t xml:space="preserve"> </w:t>
      </w:r>
      <w:r w:rsidRPr="002C2B46">
        <w:rPr>
          <w:rFonts w:ascii="Arial Narrow" w:hAnsi="Arial Narrow"/>
        </w:rPr>
        <w:t>not clearly addressed in the questionnaire that was developed.</w:t>
      </w:r>
    </w:p>
    <w:p w:rsidR="005412AB" w:rsidRPr="002C2B46" w:rsidRDefault="00732C97" w:rsidP="005412AB">
      <w:pPr>
        <w:pStyle w:val="ListParagraph"/>
        <w:numPr>
          <w:ilvl w:val="0"/>
          <w:numId w:val="40"/>
        </w:numPr>
        <w:rPr>
          <w:rFonts w:ascii="Arial Narrow" w:hAnsi="Arial Narrow"/>
        </w:rPr>
      </w:pPr>
      <w:r w:rsidRPr="002C2B46">
        <w:rPr>
          <w:rFonts w:ascii="Arial Narrow" w:hAnsi="Arial Narrow"/>
        </w:rPr>
        <w:lastRenderedPageBreak/>
        <w:t>Need f</w:t>
      </w:r>
      <w:r w:rsidR="005412AB" w:rsidRPr="002C2B46">
        <w:rPr>
          <w:rFonts w:ascii="Arial Narrow" w:hAnsi="Arial Narrow"/>
        </w:rPr>
        <w:t xml:space="preserve">rontline providers to </w:t>
      </w:r>
      <w:r w:rsidR="008B414C" w:rsidRPr="002C2B46">
        <w:rPr>
          <w:rFonts w:ascii="Arial Narrow" w:hAnsi="Arial Narrow"/>
        </w:rPr>
        <w:t xml:space="preserve">take into consideration </w:t>
      </w:r>
      <w:r w:rsidR="005412AB" w:rsidRPr="002C2B46">
        <w:rPr>
          <w:rFonts w:ascii="Arial Narrow" w:hAnsi="Arial Narrow"/>
        </w:rPr>
        <w:t xml:space="preserve">that </w:t>
      </w:r>
      <w:r w:rsidR="008B414C" w:rsidRPr="002C2B46">
        <w:rPr>
          <w:rFonts w:ascii="Arial Narrow" w:hAnsi="Arial Narrow"/>
        </w:rPr>
        <w:t xml:space="preserve">under certain conditions, </w:t>
      </w:r>
      <w:r w:rsidRPr="002C2B46">
        <w:rPr>
          <w:rFonts w:ascii="Arial Narrow" w:hAnsi="Arial Narrow"/>
        </w:rPr>
        <w:t>drivers cannot drive while taking these medications.</w:t>
      </w:r>
    </w:p>
    <w:p w:rsidR="005412AB" w:rsidRPr="002C2B46" w:rsidRDefault="005412AB" w:rsidP="005412AB">
      <w:pPr>
        <w:pStyle w:val="ListParagraph"/>
        <w:numPr>
          <w:ilvl w:val="0"/>
          <w:numId w:val="40"/>
        </w:numPr>
        <w:rPr>
          <w:rFonts w:ascii="Arial Narrow" w:hAnsi="Arial Narrow"/>
        </w:rPr>
      </w:pPr>
      <w:r w:rsidRPr="002C2B46">
        <w:rPr>
          <w:rFonts w:ascii="Arial Narrow" w:hAnsi="Arial Narrow"/>
        </w:rPr>
        <w:t xml:space="preserve">Doctors are receiving pushback from drivers when they prohibit them from driving, and it is affecting their </w:t>
      </w:r>
      <w:r w:rsidR="00732C97" w:rsidRPr="002C2B46">
        <w:rPr>
          <w:rFonts w:ascii="Arial Narrow" w:hAnsi="Arial Narrow"/>
        </w:rPr>
        <w:t>performance ratings.</w:t>
      </w:r>
    </w:p>
    <w:p w:rsidR="00732C97" w:rsidRPr="002C2B46" w:rsidRDefault="00732C97" w:rsidP="005412AB">
      <w:pPr>
        <w:pStyle w:val="ListParagraph"/>
        <w:numPr>
          <w:ilvl w:val="0"/>
          <w:numId w:val="40"/>
        </w:numPr>
        <w:rPr>
          <w:rFonts w:ascii="Arial Narrow" w:hAnsi="Arial Narrow"/>
        </w:rPr>
      </w:pPr>
      <w:r w:rsidRPr="002C2B46">
        <w:rPr>
          <w:rFonts w:ascii="Arial Narrow" w:hAnsi="Arial Narrow"/>
        </w:rPr>
        <w:t>Concern around the growth of the opioid epidemic.</w:t>
      </w:r>
    </w:p>
    <w:p w:rsidR="008B414C" w:rsidRPr="002C2B46" w:rsidRDefault="008B414C" w:rsidP="005412AB">
      <w:pPr>
        <w:pStyle w:val="ListParagraph"/>
        <w:numPr>
          <w:ilvl w:val="0"/>
          <w:numId w:val="40"/>
        </w:numPr>
        <w:rPr>
          <w:rFonts w:ascii="Arial Narrow" w:hAnsi="Arial Narrow"/>
        </w:rPr>
      </w:pPr>
      <w:r w:rsidRPr="002C2B46">
        <w:rPr>
          <w:rFonts w:ascii="Arial Narrow" w:hAnsi="Arial Narrow"/>
        </w:rPr>
        <w:t>Want to show that as a</w:t>
      </w:r>
      <w:r w:rsidR="00E57D49" w:rsidRPr="002C2B46">
        <w:rPr>
          <w:rFonts w:ascii="Arial Narrow" w:hAnsi="Arial Narrow"/>
        </w:rPr>
        <w:t>n</w:t>
      </w:r>
      <w:r w:rsidRPr="002C2B46">
        <w:rPr>
          <w:rFonts w:ascii="Arial Narrow" w:hAnsi="Arial Narrow"/>
        </w:rPr>
        <w:t xml:space="preserve"> MRB, they agree with </w:t>
      </w:r>
      <w:r w:rsidR="00E57D49" w:rsidRPr="002C2B46">
        <w:rPr>
          <w:rFonts w:ascii="Arial Narrow" w:hAnsi="Arial Narrow"/>
        </w:rPr>
        <w:t xml:space="preserve">the </w:t>
      </w:r>
      <w:r w:rsidRPr="002C2B46">
        <w:rPr>
          <w:rFonts w:ascii="Arial Narrow" w:hAnsi="Arial Narrow"/>
        </w:rPr>
        <w:t>FDA statement an</w:t>
      </w:r>
      <w:r w:rsidR="00E57E14" w:rsidRPr="002C2B46">
        <w:rPr>
          <w:rFonts w:ascii="Arial Narrow" w:hAnsi="Arial Narrow"/>
        </w:rPr>
        <w:t>d share the concern for drivers, and hope to direct examiners to look at the FDA warnings on serious risk.</w:t>
      </w:r>
    </w:p>
    <w:p w:rsidR="00732C97" w:rsidRPr="002C2B46" w:rsidRDefault="00904CAC" w:rsidP="001C7B26">
      <w:pPr>
        <w:pStyle w:val="ListParagraph"/>
        <w:numPr>
          <w:ilvl w:val="0"/>
          <w:numId w:val="40"/>
        </w:numPr>
        <w:rPr>
          <w:rFonts w:ascii="Arial Narrow" w:hAnsi="Arial Narrow"/>
        </w:rPr>
      </w:pPr>
      <w:r w:rsidRPr="002C2B46">
        <w:rPr>
          <w:rFonts w:ascii="Arial Narrow" w:hAnsi="Arial Narrow"/>
        </w:rPr>
        <w:t xml:space="preserve">MRB </w:t>
      </w:r>
      <w:r w:rsidR="00D72FD0">
        <w:rPr>
          <w:rFonts w:ascii="Arial Narrow" w:hAnsi="Arial Narrow"/>
        </w:rPr>
        <w:t xml:space="preserve">recommends </w:t>
      </w:r>
      <w:r w:rsidR="003C2332">
        <w:rPr>
          <w:rFonts w:ascii="Arial Narrow" w:hAnsi="Arial Narrow"/>
        </w:rPr>
        <w:t>adoption of</w:t>
      </w:r>
      <w:r w:rsidR="00D72FD0">
        <w:rPr>
          <w:rFonts w:ascii="Arial Narrow" w:hAnsi="Arial Narrow"/>
        </w:rPr>
        <w:t xml:space="preserve"> the following </w:t>
      </w:r>
      <w:r w:rsidR="00412B56" w:rsidRPr="002C2B46">
        <w:rPr>
          <w:rFonts w:ascii="Arial Narrow" w:hAnsi="Arial Narrow"/>
        </w:rPr>
        <w:t xml:space="preserve">statement </w:t>
      </w:r>
      <w:r w:rsidR="003C2332">
        <w:rPr>
          <w:rFonts w:ascii="Arial Narrow" w:hAnsi="Arial Narrow"/>
        </w:rPr>
        <w:t xml:space="preserve">referencing </w:t>
      </w:r>
      <w:r w:rsidRPr="002C2B46">
        <w:rPr>
          <w:rFonts w:ascii="Arial Narrow" w:hAnsi="Arial Narrow"/>
        </w:rPr>
        <w:t xml:space="preserve">the </w:t>
      </w:r>
      <w:r w:rsidR="00BA4C01" w:rsidRPr="002C2B46">
        <w:rPr>
          <w:rFonts w:ascii="Arial Narrow" w:hAnsi="Arial Narrow"/>
        </w:rPr>
        <w:t xml:space="preserve">August 31, 2016, </w:t>
      </w:r>
      <w:r w:rsidR="003C2332">
        <w:rPr>
          <w:rFonts w:ascii="Arial Narrow" w:hAnsi="Arial Narrow"/>
        </w:rPr>
        <w:t>FDA</w:t>
      </w:r>
      <w:r w:rsidR="00BA4C01" w:rsidRPr="002C2B46">
        <w:rPr>
          <w:rFonts w:ascii="Arial Narrow" w:hAnsi="Arial Narrow"/>
        </w:rPr>
        <w:t xml:space="preserve"> warning on </w:t>
      </w:r>
      <w:r w:rsidRPr="002C2B46">
        <w:rPr>
          <w:rFonts w:ascii="Arial Narrow" w:hAnsi="Arial Narrow"/>
        </w:rPr>
        <w:t>medical examiner form</w:t>
      </w:r>
      <w:r w:rsidR="00BA4C01" w:rsidRPr="002C2B46">
        <w:rPr>
          <w:rFonts w:ascii="Arial Narrow" w:hAnsi="Arial Narrow"/>
        </w:rPr>
        <w:t>s:</w:t>
      </w:r>
    </w:p>
    <w:p w:rsidR="00BA4C01" w:rsidRPr="002C2B46" w:rsidRDefault="00BA4C01" w:rsidP="00BA4C01">
      <w:pPr>
        <w:pStyle w:val="ListParagraph"/>
        <w:ind w:left="1080"/>
        <w:rPr>
          <w:rFonts w:ascii="Arial Narrow" w:hAnsi="Arial Narrow"/>
        </w:rPr>
      </w:pPr>
    </w:p>
    <w:p w:rsidR="002C2B46" w:rsidRPr="00646F13" w:rsidRDefault="002C2B46" w:rsidP="00B84615">
      <w:pPr>
        <w:pStyle w:val="ListParagraph"/>
        <w:rPr>
          <w:rFonts w:ascii="Arial Narrow" w:hAnsi="Arial Narrow"/>
        </w:rPr>
      </w:pPr>
      <w:r w:rsidRPr="00646F13">
        <w:rPr>
          <w:rFonts w:ascii="Arial Narrow" w:hAnsi="Arial Narrow"/>
        </w:rPr>
        <w:t xml:space="preserve">“The Medical Review Board (MRB) of the Federal Motor Carrier Safety Administration recognizes the </w:t>
      </w:r>
      <w:hyperlink r:id="rId8" w:history="1">
        <w:r w:rsidRPr="00646F13">
          <w:rPr>
            <w:rStyle w:val="Hyperlink"/>
            <w:rFonts w:ascii="Arial Narrow" w:hAnsi="Arial Narrow"/>
          </w:rPr>
          <w:t>August 31, 2016, Food and Drug Administration warning</w:t>
        </w:r>
      </w:hyperlink>
      <w:r w:rsidRPr="00646F13">
        <w:rPr>
          <w:rFonts w:ascii="Arial Narrow" w:hAnsi="Arial Narrow"/>
        </w:rPr>
        <w:t xml:space="preserve"> regarding opioids, benzodiazepines, and other central nervous system (CNS) depressants. The MRB recommends that Certified Medical Examiners (CME) and treating clinicians be familiar with this warning, particularly the risks of extreme sleepiness, respiratory depression, and death. Healthcare professionals should consider these warnings prior to determining the driver’s ability to operate a commercial motor vehicle safely.”</w:t>
      </w:r>
    </w:p>
    <w:p w:rsidR="00E57E14" w:rsidRPr="002C2B46" w:rsidRDefault="00E57E14" w:rsidP="00BA4C01">
      <w:pPr>
        <w:pStyle w:val="ListParagraph"/>
        <w:ind w:left="1080"/>
        <w:rPr>
          <w:rFonts w:ascii="Arial Narrow" w:hAnsi="Arial Narrow"/>
        </w:rPr>
      </w:pPr>
    </w:p>
    <w:p w:rsidR="001C7B26" w:rsidRDefault="001C7B26" w:rsidP="00D72FD0">
      <w:pPr>
        <w:pStyle w:val="ListParagraph"/>
        <w:rPr>
          <w:rFonts w:ascii="Arial Narrow" w:hAnsi="Arial Narrow"/>
        </w:rPr>
      </w:pPr>
      <w:r>
        <w:rPr>
          <w:rFonts w:ascii="Arial Narrow" w:hAnsi="Arial Narrow"/>
        </w:rPr>
        <w:t xml:space="preserve">Motion made to accept the statement </w:t>
      </w:r>
      <w:r w:rsidR="00377DF8">
        <w:rPr>
          <w:rFonts w:ascii="Arial Narrow" w:hAnsi="Arial Narrow"/>
        </w:rPr>
        <w:t>[</w:t>
      </w:r>
      <w:r>
        <w:rPr>
          <w:rFonts w:ascii="Arial Narrow" w:hAnsi="Arial Narrow"/>
        </w:rPr>
        <w:t>Osbahr</w:t>
      </w:r>
      <w:r w:rsidR="00377DF8">
        <w:rPr>
          <w:rFonts w:ascii="Arial Narrow" w:hAnsi="Arial Narrow"/>
        </w:rPr>
        <w:t>]</w:t>
      </w:r>
      <w:r>
        <w:rPr>
          <w:rFonts w:ascii="Arial Narrow" w:hAnsi="Arial Narrow"/>
        </w:rPr>
        <w:t xml:space="preserve"> and seconded </w:t>
      </w:r>
      <w:r w:rsidR="00377DF8">
        <w:rPr>
          <w:rFonts w:ascii="Arial Narrow" w:hAnsi="Arial Narrow"/>
        </w:rPr>
        <w:t>[</w:t>
      </w:r>
      <w:r>
        <w:rPr>
          <w:rFonts w:ascii="Arial Narrow" w:hAnsi="Arial Narrow"/>
        </w:rPr>
        <w:t>Morris</w:t>
      </w:r>
      <w:r w:rsidR="00377DF8">
        <w:rPr>
          <w:rFonts w:ascii="Arial Narrow" w:hAnsi="Arial Narrow"/>
        </w:rPr>
        <w:t>]</w:t>
      </w:r>
      <w:r>
        <w:rPr>
          <w:rFonts w:ascii="Arial Narrow" w:hAnsi="Arial Narrow"/>
        </w:rPr>
        <w:t>.</w:t>
      </w:r>
    </w:p>
    <w:p w:rsidR="00412B56" w:rsidRPr="002C2B46" w:rsidRDefault="001C7B26" w:rsidP="001C7B26">
      <w:pPr>
        <w:pStyle w:val="ListParagraph"/>
        <w:rPr>
          <w:rFonts w:ascii="Arial Narrow" w:hAnsi="Arial Narrow"/>
        </w:rPr>
      </w:pPr>
      <w:r w:rsidRPr="002C2B46">
        <w:rPr>
          <w:rFonts w:ascii="Arial Narrow" w:hAnsi="Arial Narrow"/>
        </w:rPr>
        <w:t xml:space="preserve"> </w:t>
      </w:r>
    </w:p>
    <w:p w:rsidR="00412B56" w:rsidRPr="002C2B46" w:rsidRDefault="00412B56" w:rsidP="00412B56">
      <w:pPr>
        <w:pStyle w:val="Caption"/>
        <w:rPr>
          <w:rFonts w:ascii="Arial Narrow" w:hAnsi="Arial Narrow"/>
          <w:color w:val="3DA2CF"/>
          <w:sz w:val="24"/>
          <w:szCs w:val="24"/>
        </w:rPr>
      </w:pPr>
      <w:r w:rsidRPr="002C2B46">
        <w:rPr>
          <w:rFonts w:ascii="Arial Narrow" w:hAnsi="Arial Narrow"/>
          <w:color w:val="3DA2CF"/>
          <w:sz w:val="24"/>
          <w:szCs w:val="24"/>
        </w:rPr>
        <w:t xml:space="preserve">Table </w:t>
      </w:r>
      <w:r w:rsidRPr="002C2B46">
        <w:rPr>
          <w:rFonts w:ascii="Arial Narrow" w:hAnsi="Arial Narrow"/>
          <w:color w:val="3DA2CF"/>
          <w:sz w:val="24"/>
          <w:szCs w:val="24"/>
        </w:rPr>
        <w:fldChar w:fldCharType="begin"/>
      </w:r>
      <w:r w:rsidRPr="002C2B46">
        <w:rPr>
          <w:rFonts w:ascii="Arial Narrow" w:hAnsi="Arial Narrow"/>
          <w:color w:val="3DA2CF"/>
          <w:sz w:val="24"/>
          <w:szCs w:val="24"/>
        </w:rPr>
        <w:instrText xml:space="preserve"> SEQ Table \* ARABIC </w:instrText>
      </w:r>
      <w:r w:rsidRPr="002C2B46">
        <w:rPr>
          <w:rFonts w:ascii="Arial Narrow" w:hAnsi="Arial Narrow"/>
          <w:color w:val="3DA2CF"/>
          <w:sz w:val="24"/>
          <w:szCs w:val="24"/>
        </w:rPr>
        <w:fldChar w:fldCharType="separate"/>
      </w:r>
      <w:r w:rsidR="003D71A9">
        <w:rPr>
          <w:rFonts w:ascii="Arial Narrow" w:hAnsi="Arial Narrow"/>
          <w:noProof/>
          <w:color w:val="3DA2CF"/>
          <w:sz w:val="24"/>
          <w:szCs w:val="24"/>
        </w:rPr>
        <w:t>1</w:t>
      </w:r>
      <w:r w:rsidRPr="002C2B46">
        <w:rPr>
          <w:rFonts w:ascii="Arial Narrow" w:hAnsi="Arial Narrow"/>
          <w:noProof/>
          <w:color w:val="3DA2CF"/>
          <w:sz w:val="24"/>
          <w:szCs w:val="24"/>
        </w:rPr>
        <w:fldChar w:fldCharType="end"/>
      </w:r>
      <w:r w:rsidRPr="002C2B46">
        <w:rPr>
          <w:rFonts w:ascii="Arial Narrow" w:hAnsi="Arial Narrow"/>
          <w:color w:val="3DA2CF"/>
          <w:sz w:val="24"/>
          <w:szCs w:val="24"/>
        </w:rPr>
        <w:t xml:space="preserve">: Vote to </w:t>
      </w:r>
      <w:r w:rsidR="003C2332">
        <w:rPr>
          <w:rFonts w:ascii="Arial Narrow" w:hAnsi="Arial Narrow"/>
          <w:color w:val="3DA2CF"/>
          <w:sz w:val="24"/>
          <w:szCs w:val="24"/>
        </w:rPr>
        <w:t>Recommend FMCSA Adopt above</w:t>
      </w:r>
      <w:r w:rsidRPr="002C2B46">
        <w:rPr>
          <w:rFonts w:ascii="Arial Narrow" w:hAnsi="Arial Narrow"/>
          <w:color w:val="3DA2CF"/>
          <w:sz w:val="24"/>
          <w:szCs w:val="24"/>
        </w:rPr>
        <w:t xml:space="preserve"> </w:t>
      </w:r>
      <w:r w:rsidR="003C2332">
        <w:rPr>
          <w:rFonts w:ascii="Arial Narrow" w:hAnsi="Arial Narrow"/>
          <w:color w:val="3DA2CF"/>
          <w:sz w:val="24"/>
          <w:szCs w:val="24"/>
        </w:rPr>
        <w:t>S</w:t>
      </w:r>
      <w:r w:rsidRPr="002C2B46">
        <w:rPr>
          <w:rFonts w:ascii="Arial Narrow" w:hAnsi="Arial Narrow"/>
          <w:color w:val="3DA2CF"/>
          <w:sz w:val="24"/>
          <w:szCs w:val="24"/>
        </w:rPr>
        <w:t xml:space="preserve">tatement </w:t>
      </w:r>
    </w:p>
    <w:tbl>
      <w:tblPr>
        <w:tblStyle w:val="TableGrid"/>
        <w:tblpPr w:leftFromText="180" w:rightFromText="180" w:vertAnchor="text" w:horzAnchor="margin" w:tblpY="54"/>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301"/>
        <w:gridCol w:w="1373"/>
        <w:gridCol w:w="1406"/>
        <w:gridCol w:w="2270"/>
      </w:tblGrid>
      <w:tr w:rsidR="001C7B26" w:rsidRPr="00D1322E" w:rsidTr="001C7B26">
        <w:trPr>
          <w:trHeight w:val="256"/>
        </w:trPr>
        <w:tc>
          <w:tcPr>
            <w:tcW w:w="2300" w:type="pct"/>
            <w:tcBorders>
              <w:bottom w:val="single" w:sz="4" w:space="0" w:color="808080" w:themeColor="background1" w:themeShade="80"/>
            </w:tcBorders>
            <w:shd w:val="clear" w:color="auto" w:fill="336699"/>
          </w:tcPr>
          <w:p w:rsidR="001C7B26" w:rsidRPr="002C2B46" w:rsidRDefault="001C7B26" w:rsidP="001C7B26">
            <w:pPr>
              <w:pStyle w:val="Th"/>
              <w:ind w:right="0"/>
              <w:jc w:val="left"/>
              <w:rPr>
                <w:rFonts w:cs="Times New Roman"/>
                <w:sz w:val="24"/>
                <w:szCs w:val="24"/>
              </w:rPr>
            </w:pPr>
            <w:r w:rsidRPr="002C2B46">
              <w:rPr>
                <w:rFonts w:cs="Times New Roman"/>
                <w:sz w:val="24"/>
                <w:szCs w:val="24"/>
              </w:rPr>
              <w:t>Member</w:t>
            </w:r>
          </w:p>
        </w:tc>
        <w:tc>
          <w:tcPr>
            <w:tcW w:w="734" w:type="pct"/>
            <w:tcBorders>
              <w:bottom w:val="single" w:sz="4" w:space="0" w:color="808080" w:themeColor="background1" w:themeShade="80"/>
            </w:tcBorders>
            <w:shd w:val="clear" w:color="auto" w:fill="336699"/>
          </w:tcPr>
          <w:p w:rsidR="001C7B26" w:rsidRPr="002C2B46" w:rsidRDefault="001C7B26" w:rsidP="001C7B26">
            <w:pPr>
              <w:pStyle w:val="Th"/>
              <w:ind w:right="-108"/>
              <w:rPr>
                <w:rFonts w:cs="Times New Roman"/>
                <w:sz w:val="24"/>
                <w:szCs w:val="24"/>
              </w:rPr>
            </w:pPr>
            <w:r w:rsidRPr="002C2B46">
              <w:rPr>
                <w:rFonts w:cs="Times New Roman"/>
                <w:sz w:val="24"/>
                <w:szCs w:val="24"/>
              </w:rPr>
              <w:t>Aye</w:t>
            </w:r>
          </w:p>
        </w:tc>
        <w:tc>
          <w:tcPr>
            <w:tcW w:w="752" w:type="pct"/>
            <w:tcBorders>
              <w:bottom w:val="single" w:sz="4" w:space="0" w:color="808080" w:themeColor="background1" w:themeShade="80"/>
            </w:tcBorders>
            <w:shd w:val="clear" w:color="auto" w:fill="336699"/>
          </w:tcPr>
          <w:p w:rsidR="001C7B26" w:rsidRPr="002C2B46" w:rsidRDefault="001C7B26" w:rsidP="001C7B26">
            <w:pPr>
              <w:pStyle w:val="Th"/>
              <w:ind w:right="-108"/>
              <w:rPr>
                <w:rFonts w:cs="Times New Roman"/>
                <w:sz w:val="24"/>
                <w:szCs w:val="24"/>
              </w:rPr>
            </w:pPr>
            <w:r w:rsidRPr="002C2B46">
              <w:rPr>
                <w:rFonts w:cs="Times New Roman"/>
                <w:sz w:val="24"/>
                <w:szCs w:val="24"/>
              </w:rPr>
              <w:t>Nay</w:t>
            </w:r>
          </w:p>
        </w:tc>
        <w:tc>
          <w:tcPr>
            <w:tcW w:w="1214" w:type="pct"/>
            <w:tcBorders>
              <w:bottom w:val="single" w:sz="4" w:space="0" w:color="808080" w:themeColor="background1" w:themeShade="80"/>
            </w:tcBorders>
            <w:shd w:val="clear" w:color="auto" w:fill="336699"/>
          </w:tcPr>
          <w:p w:rsidR="001C7B26" w:rsidRPr="002C2B46" w:rsidRDefault="001C7B26" w:rsidP="001C7B26">
            <w:pPr>
              <w:pStyle w:val="Th"/>
              <w:tabs>
                <w:tab w:val="clear" w:pos="792"/>
              </w:tabs>
              <w:ind w:right="-90"/>
              <w:rPr>
                <w:rFonts w:cs="Times New Roman"/>
                <w:sz w:val="24"/>
                <w:szCs w:val="24"/>
              </w:rPr>
            </w:pPr>
            <w:r w:rsidRPr="002C2B46">
              <w:rPr>
                <w:rFonts w:cs="Times New Roman"/>
                <w:sz w:val="24"/>
                <w:szCs w:val="24"/>
              </w:rPr>
              <w:t>Abstain</w:t>
            </w:r>
          </w:p>
        </w:tc>
      </w:tr>
      <w:tr w:rsidR="001C7B26" w:rsidRPr="00D1322E" w:rsidTr="001C7B26">
        <w:trPr>
          <w:trHeight w:val="23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5A7E87">
            <w:pPr>
              <w:pStyle w:val="te"/>
              <w:rPr>
                <w:rFonts w:cs="Times New Roman"/>
                <w:sz w:val="24"/>
                <w:szCs w:val="24"/>
              </w:rPr>
            </w:pPr>
            <w:r w:rsidRPr="002C2B46">
              <w:rPr>
                <w:rFonts w:cs="Times New Roman"/>
                <w:sz w:val="24"/>
                <w:szCs w:val="24"/>
              </w:rPr>
              <w:t>Pervall</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r>
      <w:tr w:rsidR="001C7B26" w:rsidRPr="00D1322E" w:rsidTr="001C7B26">
        <w:trPr>
          <w:trHeight w:val="302"/>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C7B26" w:rsidRPr="002C2B46" w:rsidRDefault="001C7B26" w:rsidP="00412B56">
            <w:pPr>
              <w:pStyle w:val="te"/>
              <w:rPr>
                <w:rFonts w:cs="Times New Roman"/>
                <w:sz w:val="24"/>
                <w:szCs w:val="24"/>
              </w:rPr>
            </w:pPr>
            <w:r w:rsidRPr="002C2B46">
              <w:rPr>
                <w:rFonts w:cs="Times New Roman"/>
                <w:sz w:val="24"/>
                <w:szCs w:val="24"/>
              </w:rPr>
              <w:t>Cisneros</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C7B26" w:rsidRPr="002C2B46" w:rsidRDefault="001C7B26" w:rsidP="001C7B26">
            <w:pPr>
              <w:pStyle w:val="te"/>
              <w:jc w:val="center"/>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r>
      <w:tr w:rsidR="001C7B26" w:rsidRPr="00D1322E" w:rsidTr="001C7B26">
        <w:trPr>
          <w:trHeight w:val="148"/>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5A7E87">
            <w:pPr>
              <w:pStyle w:val="te"/>
              <w:rPr>
                <w:rFonts w:cs="Times New Roman"/>
                <w:sz w:val="24"/>
                <w:szCs w:val="24"/>
              </w:rPr>
            </w:pPr>
            <w:r w:rsidRPr="002C2B46">
              <w:rPr>
                <w:rFonts w:cs="Times New Roman"/>
                <w:sz w:val="24"/>
                <w:szCs w:val="24"/>
              </w:rPr>
              <w:t>Kelley</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r>
      <w:tr w:rsidR="001C7B26" w:rsidRPr="00D1322E" w:rsidTr="001C7B26">
        <w:trPr>
          <w:trHeight w:val="23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5A7E87">
            <w:pPr>
              <w:pStyle w:val="te"/>
              <w:rPr>
                <w:rFonts w:cs="Times New Roman"/>
                <w:sz w:val="24"/>
                <w:szCs w:val="24"/>
              </w:rPr>
            </w:pPr>
            <w:r w:rsidRPr="002C2B46">
              <w:rPr>
                <w:rFonts w:cs="Times New Roman"/>
                <w:sz w:val="24"/>
                <w:szCs w:val="24"/>
              </w:rPr>
              <w:t>Morris</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r>
      <w:tr w:rsidR="001C7B26" w:rsidRPr="00D1322E" w:rsidTr="001C7B26">
        <w:trPr>
          <w:trHeight w:val="23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5A7E87">
            <w:pPr>
              <w:pStyle w:val="te"/>
              <w:rPr>
                <w:rFonts w:cs="Times New Roman"/>
                <w:sz w:val="24"/>
                <w:szCs w:val="24"/>
              </w:rPr>
            </w:pPr>
            <w:r w:rsidRPr="002C2B46">
              <w:rPr>
                <w:rFonts w:cs="Times New Roman"/>
                <w:sz w:val="24"/>
                <w:szCs w:val="24"/>
              </w:rPr>
              <w:t>Osbahr</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1C7B26" w:rsidRPr="002C2B46" w:rsidRDefault="001C7B26" w:rsidP="001C7B26">
            <w:pPr>
              <w:pStyle w:val="te"/>
              <w:jc w:val="center"/>
              <w:rPr>
                <w:rFonts w:cs="Times New Roman"/>
                <w:sz w:val="24"/>
                <w:szCs w:val="24"/>
              </w:rPr>
            </w:pPr>
          </w:p>
        </w:tc>
      </w:tr>
      <w:tr w:rsidR="001C7B26" w:rsidRPr="00D1322E" w:rsidTr="001C7B26">
        <w:trPr>
          <w:trHeight w:val="7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1C7B26" w:rsidRPr="002C2B46" w:rsidRDefault="001C7B26" w:rsidP="005A7E87">
            <w:pPr>
              <w:pStyle w:val="te"/>
              <w:rPr>
                <w:rFonts w:cs="Times New Roman"/>
                <w:sz w:val="24"/>
                <w:szCs w:val="24"/>
              </w:rPr>
            </w:pPr>
            <w:r>
              <w:rPr>
                <w:rFonts w:cs="Times New Roman"/>
                <w:sz w:val="24"/>
                <w:szCs w:val="24"/>
              </w:rPr>
              <w:t>TOTAL</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1C7B26" w:rsidRPr="002C2B46" w:rsidRDefault="001C7B26" w:rsidP="001C7B26">
            <w:pPr>
              <w:pStyle w:val="te"/>
              <w:jc w:val="center"/>
              <w:rPr>
                <w:rFonts w:cs="Times New Roman"/>
                <w:sz w:val="24"/>
                <w:szCs w:val="24"/>
              </w:rPr>
            </w:pPr>
            <w:r w:rsidRPr="002C2B46">
              <w:rPr>
                <w:rFonts w:cs="Times New Roman"/>
                <w:sz w:val="24"/>
                <w:szCs w:val="24"/>
              </w:rPr>
              <w:t>5</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1C7B26" w:rsidRPr="002C2B46" w:rsidRDefault="001C7B26" w:rsidP="001C7B26">
            <w:pPr>
              <w:pStyle w:val="te"/>
              <w:jc w:val="center"/>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1C7B26" w:rsidRPr="002C2B46" w:rsidRDefault="001C7B26" w:rsidP="001C7B26">
            <w:pPr>
              <w:pStyle w:val="te"/>
              <w:jc w:val="center"/>
              <w:rPr>
                <w:rFonts w:cs="Times New Roman"/>
                <w:sz w:val="24"/>
                <w:szCs w:val="24"/>
              </w:rPr>
            </w:pPr>
          </w:p>
        </w:tc>
      </w:tr>
    </w:tbl>
    <w:p w:rsidR="00412B56" w:rsidRPr="002C2B46" w:rsidRDefault="00412B56" w:rsidP="00412B56">
      <w:pPr>
        <w:pStyle w:val="ListParagraph"/>
        <w:rPr>
          <w:rFonts w:ascii="Arial Narrow" w:hAnsi="Arial Narrow"/>
        </w:rPr>
      </w:pPr>
    </w:p>
    <w:p w:rsidR="003F6E82" w:rsidRPr="002C2B46" w:rsidRDefault="003F6E82" w:rsidP="003F6E82">
      <w:pPr>
        <w:pStyle w:val="ListParagraph"/>
        <w:numPr>
          <w:ilvl w:val="0"/>
          <w:numId w:val="41"/>
        </w:numPr>
        <w:rPr>
          <w:rFonts w:ascii="Arial Narrow" w:hAnsi="Arial Narrow"/>
        </w:rPr>
      </w:pPr>
      <w:r w:rsidRPr="002C2B46">
        <w:rPr>
          <w:rFonts w:ascii="Arial Narrow" w:hAnsi="Arial Narrow"/>
        </w:rPr>
        <w:t>Morphine Medication Equivalents (MME) above 50 double the risk of overdose and death (CDC data)</w:t>
      </w:r>
      <w:r w:rsidR="00E95023" w:rsidRPr="002C2B46">
        <w:rPr>
          <w:rFonts w:ascii="Arial Narrow" w:hAnsi="Arial Narrow"/>
        </w:rPr>
        <w:t>.</w:t>
      </w:r>
    </w:p>
    <w:p w:rsidR="003F6E82" w:rsidRPr="002C2B46" w:rsidRDefault="003F6E82" w:rsidP="001C7B26">
      <w:pPr>
        <w:pStyle w:val="ListParagraph"/>
        <w:numPr>
          <w:ilvl w:val="0"/>
          <w:numId w:val="44"/>
        </w:numPr>
        <w:ind w:left="720"/>
        <w:rPr>
          <w:rFonts w:ascii="Arial Narrow" w:hAnsi="Arial Narrow"/>
          <w:b/>
        </w:rPr>
      </w:pPr>
      <w:r w:rsidRPr="002C2B46">
        <w:rPr>
          <w:rFonts w:ascii="Arial Narrow" w:hAnsi="Arial Narrow"/>
        </w:rPr>
        <w:t xml:space="preserve">MRB </w:t>
      </w:r>
      <w:r w:rsidR="00D72FD0">
        <w:rPr>
          <w:rFonts w:ascii="Arial Narrow" w:hAnsi="Arial Narrow"/>
        </w:rPr>
        <w:t xml:space="preserve">recommends </w:t>
      </w:r>
      <w:r w:rsidR="003C2332">
        <w:rPr>
          <w:rFonts w:ascii="Arial Narrow" w:hAnsi="Arial Narrow"/>
        </w:rPr>
        <w:t>adoption</w:t>
      </w:r>
      <w:r w:rsidR="00D72FD0">
        <w:rPr>
          <w:rFonts w:ascii="Arial Narrow" w:hAnsi="Arial Narrow"/>
        </w:rPr>
        <w:t xml:space="preserve"> of the following</w:t>
      </w:r>
      <w:r w:rsidR="00C26D6F">
        <w:rPr>
          <w:rFonts w:ascii="Arial Narrow" w:hAnsi="Arial Narrow"/>
        </w:rPr>
        <w:t xml:space="preserve"> </w:t>
      </w:r>
      <w:r w:rsidRPr="002C2B46">
        <w:rPr>
          <w:rFonts w:ascii="Arial Narrow" w:hAnsi="Arial Narrow"/>
        </w:rPr>
        <w:t xml:space="preserve">statement </w:t>
      </w:r>
      <w:r w:rsidR="003C2332">
        <w:rPr>
          <w:rFonts w:ascii="Arial Narrow" w:hAnsi="Arial Narrow"/>
        </w:rPr>
        <w:t>referencing</w:t>
      </w:r>
      <w:r w:rsidRPr="002C2B46">
        <w:rPr>
          <w:rFonts w:ascii="Arial Narrow" w:hAnsi="Arial Narrow"/>
        </w:rPr>
        <w:t xml:space="preserve"> the August 31, 2016, </w:t>
      </w:r>
      <w:r w:rsidR="003C2332">
        <w:rPr>
          <w:rFonts w:ascii="Arial Narrow" w:hAnsi="Arial Narrow"/>
        </w:rPr>
        <w:t>FDA</w:t>
      </w:r>
      <w:r w:rsidRPr="002C2B46">
        <w:rPr>
          <w:rFonts w:ascii="Arial Narrow" w:hAnsi="Arial Narrow"/>
        </w:rPr>
        <w:t xml:space="preserve"> warning on medical examiner forms:</w:t>
      </w:r>
    </w:p>
    <w:p w:rsidR="00F50D64" w:rsidRPr="002C2B46" w:rsidRDefault="00F50D64" w:rsidP="004B54B9">
      <w:pPr>
        <w:rPr>
          <w:rFonts w:ascii="Arial Narrow" w:hAnsi="Arial Narrow"/>
        </w:rPr>
      </w:pPr>
    </w:p>
    <w:p w:rsidR="003F6E82" w:rsidRPr="002C2B46" w:rsidRDefault="003F6E82" w:rsidP="003F6E82">
      <w:pPr>
        <w:ind w:left="720"/>
        <w:rPr>
          <w:rFonts w:ascii="Arial Narrow" w:hAnsi="Arial Narrow"/>
        </w:rPr>
      </w:pPr>
      <w:r w:rsidRPr="002C2B46">
        <w:rPr>
          <w:rFonts w:ascii="Arial Narrow" w:hAnsi="Arial Narrow"/>
        </w:rPr>
        <w:t xml:space="preserve">“The Medical Review Board (MRB) of the Federal Motor Carrier Safety Administration recognizes the </w:t>
      </w:r>
      <w:hyperlink r:id="rId9" w:history="1">
        <w:r w:rsidRPr="002C2B46">
          <w:rPr>
            <w:rStyle w:val="Hyperlink"/>
            <w:rFonts w:ascii="Arial Narrow" w:hAnsi="Arial Narrow"/>
          </w:rPr>
          <w:t>March 18, 2016, Centers for Disease Control Guideline for Prescribing Opioids for Chronic Pain</w:t>
        </w:r>
      </w:hyperlink>
      <w:r w:rsidRPr="002C2B46">
        <w:rPr>
          <w:rFonts w:ascii="Arial Narrow" w:hAnsi="Arial Narrow"/>
        </w:rPr>
        <w:t xml:space="preserve"> and the risks for serious harm related to opioid therapy at a dosage greater than or equal to 50 morphine milligram equivalents (MME) per day. The MRB recommends that Certified Medical Examiners (CME) and treating clinicians be familiar with this guideline, particularly the risks of misuse, addiction, overdose, and death. Healthcare professionals should consider this guideline prior to determining the driver’s ability to operate a commercial motor vehicle safely.”</w:t>
      </w:r>
    </w:p>
    <w:p w:rsidR="003F6E82" w:rsidRPr="002C2B46" w:rsidRDefault="003F6E82" w:rsidP="003F6E82">
      <w:pPr>
        <w:ind w:left="720"/>
        <w:rPr>
          <w:rFonts w:ascii="Arial Narrow" w:hAnsi="Arial Narrow"/>
        </w:rPr>
      </w:pPr>
    </w:p>
    <w:p w:rsidR="003F6E82" w:rsidRPr="001C7B26" w:rsidRDefault="001C7B26" w:rsidP="001C7B26">
      <w:pPr>
        <w:pStyle w:val="ListParagraph"/>
        <w:rPr>
          <w:rFonts w:ascii="Arial Narrow" w:hAnsi="Arial Narrow"/>
        </w:rPr>
      </w:pPr>
      <w:r>
        <w:rPr>
          <w:rFonts w:ascii="Arial Narrow" w:hAnsi="Arial Narrow"/>
        </w:rPr>
        <w:lastRenderedPageBreak/>
        <w:t xml:space="preserve">Motion made to accept the statement </w:t>
      </w:r>
      <w:r w:rsidR="00B84615">
        <w:rPr>
          <w:rFonts w:ascii="Arial Narrow" w:hAnsi="Arial Narrow"/>
        </w:rPr>
        <w:t>[Kelley] and seconded [Morris]</w:t>
      </w:r>
      <w:r>
        <w:rPr>
          <w:rFonts w:ascii="Arial Narrow" w:hAnsi="Arial Narrow"/>
        </w:rPr>
        <w:t>.</w:t>
      </w:r>
      <w:r w:rsidRPr="002C2B46">
        <w:rPr>
          <w:rFonts w:ascii="Arial Narrow" w:hAnsi="Arial Narrow"/>
        </w:rPr>
        <w:t xml:space="preserve"> </w:t>
      </w:r>
    </w:p>
    <w:p w:rsidR="003F6E82" w:rsidRPr="002C2B46" w:rsidRDefault="003F6E82" w:rsidP="003F6E82">
      <w:pPr>
        <w:ind w:left="720"/>
        <w:rPr>
          <w:rFonts w:ascii="Arial Narrow" w:hAnsi="Arial Narrow"/>
        </w:rPr>
      </w:pPr>
    </w:p>
    <w:p w:rsidR="003F6E82" w:rsidRPr="002C2B46" w:rsidRDefault="003F6E82" w:rsidP="003F6E82">
      <w:pPr>
        <w:pStyle w:val="Caption"/>
        <w:rPr>
          <w:rFonts w:ascii="Arial Narrow" w:hAnsi="Arial Narrow"/>
          <w:color w:val="3DA2CF"/>
          <w:sz w:val="24"/>
          <w:szCs w:val="24"/>
        </w:rPr>
      </w:pPr>
      <w:r w:rsidRPr="002C2B46">
        <w:rPr>
          <w:rFonts w:ascii="Arial Narrow" w:hAnsi="Arial Narrow"/>
          <w:color w:val="3DA2CF"/>
          <w:sz w:val="24"/>
          <w:szCs w:val="24"/>
        </w:rPr>
        <w:t xml:space="preserve">Table 2: Vote to </w:t>
      </w:r>
      <w:r w:rsidR="003C2332">
        <w:rPr>
          <w:rFonts w:ascii="Arial Narrow" w:hAnsi="Arial Narrow"/>
          <w:color w:val="3DA2CF"/>
          <w:sz w:val="24"/>
          <w:szCs w:val="24"/>
        </w:rPr>
        <w:t>Recommend FMCSA Adopt Above Statement</w:t>
      </w:r>
      <w:r w:rsidRPr="002C2B46">
        <w:rPr>
          <w:rFonts w:ascii="Arial Narrow" w:hAnsi="Arial Narrow"/>
          <w:color w:val="3DA2CF"/>
          <w:sz w:val="24"/>
          <w:szCs w:val="24"/>
        </w:rPr>
        <w:t xml:space="preserve"> </w:t>
      </w:r>
    </w:p>
    <w:tbl>
      <w:tblPr>
        <w:tblStyle w:val="TableGrid"/>
        <w:tblpPr w:leftFromText="180" w:rightFromText="180" w:vertAnchor="text" w:horzAnchor="margin" w:tblpY="54"/>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301"/>
        <w:gridCol w:w="1373"/>
        <w:gridCol w:w="1406"/>
        <w:gridCol w:w="2270"/>
      </w:tblGrid>
      <w:tr w:rsidR="00D72FD0" w:rsidRPr="00D1322E" w:rsidTr="00D72FD0">
        <w:trPr>
          <w:trHeight w:val="256"/>
        </w:trPr>
        <w:tc>
          <w:tcPr>
            <w:tcW w:w="2300" w:type="pct"/>
            <w:tcBorders>
              <w:bottom w:val="single" w:sz="4" w:space="0" w:color="808080" w:themeColor="background1" w:themeShade="80"/>
            </w:tcBorders>
            <w:shd w:val="clear" w:color="auto" w:fill="336699"/>
          </w:tcPr>
          <w:p w:rsidR="00D72FD0" w:rsidRPr="002C2B46" w:rsidRDefault="00D72FD0" w:rsidP="005A7E87">
            <w:pPr>
              <w:pStyle w:val="Th"/>
              <w:ind w:right="0"/>
              <w:rPr>
                <w:rFonts w:cs="Times New Roman"/>
                <w:sz w:val="24"/>
                <w:szCs w:val="24"/>
              </w:rPr>
            </w:pPr>
            <w:r w:rsidRPr="002C2B46">
              <w:rPr>
                <w:rFonts w:cs="Times New Roman"/>
                <w:sz w:val="24"/>
                <w:szCs w:val="24"/>
              </w:rPr>
              <w:t>Member</w:t>
            </w:r>
          </w:p>
        </w:tc>
        <w:tc>
          <w:tcPr>
            <w:tcW w:w="734" w:type="pct"/>
            <w:tcBorders>
              <w:bottom w:val="single" w:sz="4" w:space="0" w:color="808080" w:themeColor="background1" w:themeShade="80"/>
            </w:tcBorders>
            <w:shd w:val="clear" w:color="auto" w:fill="336699"/>
          </w:tcPr>
          <w:p w:rsidR="00D72FD0" w:rsidRPr="002C2B46" w:rsidRDefault="00D72FD0" w:rsidP="005A7E87">
            <w:pPr>
              <w:pStyle w:val="Th"/>
              <w:ind w:right="-108"/>
              <w:rPr>
                <w:rFonts w:cs="Times New Roman"/>
                <w:sz w:val="24"/>
                <w:szCs w:val="24"/>
              </w:rPr>
            </w:pPr>
            <w:r w:rsidRPr="002C2B46">
              <w:rPr>
                <w:rFonts w:cs="Times New Roman"/>
                <w:sz w:val="24"/>
                <w:szCs w:val="24"/>
              </w:rPr>
              <w:t>Aye</w:t>
            </w:r>
          </w:p>
        </w:tc>
        <w:tc>
          <w:tcPr>
            <w:tcW w:w="752" w:type="pct"/>
            <w:tcBorders>
              <w:bottom w:val="single" w:sz="4" w:space="0" w:color="808080" w:themeColor="background1" w:themeShade="80"/>
            </w:tcBorders>
            <w:shd w:val="clear" w:color="auto" w:fill="336699"/>
          </w:tcPr>
          <w:p w:rsidR="00D72FD0" w:rsidRPr="002C2B46" w:rsidRDefault="00D72FD0" w:rsidP="005A7E87">
            <w:pPr>
              <w:pStyle w:val="Th"/>
              <w:ind w:right="-108"/>
              <w:rPr>
                <w:rFonts w:cs="Times New Roman"/>
                <w:sz w:val="24"/>
                <w:szCs w:val="24"/>
              </w:rPr>
            </w:pPr>
            <w:r w:rsidRPr="002C2B46">
              <w:rPr>
                <w:rFonts w:cs="Times New Roman"/>
                <w:sz w:val="24"/>
                <w:szCs w:val="24"/>
              </w:rPr>
              <w:t>Nay</w:t>
            </w:r>
          </w:p>
        </w:tc>
        <w:tc>
          <w:tcPr>
            <w:tcW w:w="1214" w:type="pct"/>
            <w:tcBorders>
              <w:bottom w:val="single" w:sz="4" w:space="0" w:color="808080" w:themeColor="background1" w:themeShade="80"/>
            </w:tcBorders>
            <w:shd w:val="clear" w:color="auto" w:fill="336699"/>
          </w:tcPr>
          <w:p w:rsidR="00D72FD0" w:rsidRPr="002C2B46" w:rsidRDefault="00D72FD0" w:rsidP="005A7E87">
            <w:pPr>
              <w:pStyle w:val="Th"/>
              <w:tabs>
                <w:tab w:val="clear" w:pos="792"/>
              </w:tabs>
              <w:ind w:right="-90"/>
              <w:rPr>
                <w:rFonts w:cs="Times New Roman"/>
                <w:sz w:val="24"/>
                <w:szCs w:val="24"/>
              </w:rPr>
            </w:pPr>
            <w:r w:rsidRPr="002C2B46">
              <w:rPr>
                <w:rFonts w:cs="Times New Roman"/>
                <w:sz w:val="24"/>
                <w:szCs w:val="24"/>
              </w:rPr>
              <w:t>Abstain</w:t>
            </w:r>
          </w:p>
        </w:tc>
      </w:tr>
      <w:tr w:rsidR="00D72FD0" w:rsidRPr="00D1322E" w:rsidTr="00D72FD0">
        <w:trPr>
          <w:trHeight w:val="23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Pervall</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r>
      <w:tr w:rsidR="00D72FD0" w:rsidRPr="00D1322E" w:rsidTr="00D72FD0">
        <w:trPr>
          <w:trHeight w:val="302"/>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72FD0" w:rsidRPr="002C2B46" w:rsidRDefault="00D72FD0" w:rsidP="005A7E87">
            <w:pPr>
              <w:pStyle w:val="te"/>
              <w:rPr>
                <w:rFonts w:cs="Times New Roman"/>
                <w:sz w:val="24"/>
                <w:szCs w:val="24"/>
              </w:rPr>
            </w:pPr>
            <w:r w:rsidRPr="002C2B46">
              <w:rPr>
                <w:rFonts w:cs="Times New Roman"/>
                <w:sz w:val="24"/>
                <w:szCs w:val="24"/>
              </w:rPr>
              <w:t>Cisneros</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72FD0" w:rsidRPr="002C2B46" w:rsidRDefault="00D72FD0" w:rsidP="005A7E87">
            <w:pPr>
              <w:pStyle w:val="te"/>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r>
      <w:tr w:rsidR="00D72FD0" w:rsidRPr="00D1322E" w:rsidTr="00D72FD0">
        <w:trPr>
          <w:trHeight w:val="148"/>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Kelley</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r>
      <w:tr w:rsidR="00D72FD0" w:rsidRPr="00D1322E" w:rsidTr="00D72FD0">
        <w:trPr>
          <w:trHeight w:val="23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Morris</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r>
      <w:tr w:rsidR="00D72FD0" w:rsidRPr="00D1322E" w:rsidTr="00D72FD0">
        <w:trPr>
          <w:trHeight w:val="23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Osbahr</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r w:rsidRPr="002C2B46">
              <w:rPr>
                <w:rFonts w:cs="Times New Roman"/>
                <w:sz w:val="24"/>
                <w:szCs w:val="24"/>
              </w:rPr>
              <w:t>1</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D72FD0" w:rsidRPr="002C2B46" w:rsidRDefault="00D72FD0" w:rsidP="005A7E87">
            <w:pPr>
              <w:pStyle w:val="te"/>
              <w:rPr>
                <w:rFonts w:cs="Times New Roman"/>
                <w:sz w:val="24"/>
                <w:szCs w:val="24"/>
              </w:rPr>
            </w:pPr>
          </w:p>
        </w:tc>
      </w:tr>
      <w:tr w:rsidR="00D72FD0" w:rsidRPr="00D1322E" w:rsidTr="00D72FD0">
        <w:trPr>
          <w:trHeight w:val="75"/>
        </w:trPr>
        <w:tc>
          <w:tcPr>
            <w:tcW w:w="2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72FD0" w:rsidRPr="002C2B46" w:rsidRDefault="00D72FD0" w:rsidP="005A7E87">
            <w:pPr>
              <w:pStyle w:val="te"/>
              <w:rPr>
                <w:rFonts w:cs="Times New Roman"/>
                <w:sz w:val="24"/>
                <w:szCs w:val="24"/>
              </w:rPr>
            </w:pPr>
            <w:r>
              <w:rPr>
                <w:rFonts w:cs="Times New Roman"/>
                <w:sz w:val="24"/>
                <w:szCs w:val="24"/>
              </w:rPr>
              <w:t>TOTAL</w:t>
            </w:r>
          </w:p>
        </w:tc>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D72FD0" w:rsidRPr="002C2B46" w:rsidRDefault="00D72FD0" w:rsidP="005A7E87">
            <w:pPr>
              <w:pStyle w:val="te"/>
              <w:rPr>
                <w:rFonts w:cs="Times New Roman"/>
                <w:sz w:val="24"/>
                <w:szCs w:val="24"/>
              </w:rPr>
            </w:pPr>
            <w:r w:rsidRPr="002C2B46">
              <w:rPr>
                <w:rFonts w:cs="Times New Roman"/>
                <w:sz w:val="24"/>
                <w:szCs w:val="24"/>
              </w:rPr>
              <w:t>5</w:t>
            </w: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D72FD0" w:rsidRPr="002C2B46" w:rsidRDefault="00D72FD0" w:rsidP="005A7E87">
            <w:pPr>
              <w:pStyle w:val="te"/>
              <w:rPr>
                <w:rFonts w:cs="Times New Roman"/>
                <w:sz w:val="24"/>
                <w:szCs w:val="24"/>
              </w:rPr>
            </w:pPr>
          </w:p>
        </w:tc>
        <w:tc>
          <w:tcPr>
            <w:tcW w:w="1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D72FD0" w:rsidRPr="002C2B46" w:rsidRDefault="00D72FD0" w:rsidP="005A7E87">
            <w:pPr>
              <w:pStyle w:val="te"/>
              <w:rPr>
                <w:rFonts w:cs="Times New Roman"/>
                <w:sz w:val="24"/>
                <w:szCs w:val="24"/>
              </w:rPr>
            </w:pPr>
          </w:p>
        </w:tc>
      </w:tr>
    </w:tbl>
    <w:p w:rsidR="003F6E82" w:rsidRPr="002C2B46" w:rsidRDefault="003F6E82" w:rsidP="003F6E82">
      <w:pPr>
        <w:pStyle w:val="ListParagraph"/>
        <w:rPr>
          <w:rFonts w:ascii="Arial Narrow" w:hAnsi="Arial Narrow"/>
        </w:rPr>
      </w:pPr>
    </w:p>
    <w:p w:rsidR="00A24EAF" w:rsidRPr="002C2B46" w:rsidRDefault="00A24EAF" w:rsidP="00A24EAF">
      <w:pPr>
        <w:rPr>
          <w:rFonts w:ascii="Arial Narrow" w:hAnsi="Arial Narrow"/>
        </w:rPr>
      </w:pPr>
    </w:p>
    <w:p w:rsidR="00A9475E" w:rsidRPr="002C2B46" w:rsidRDefault="007760DD" w:rsidP="00A9475E">
      <w:pPr>
        <w:widowControl w:val="0"/>
        <w:spacing w:after="200"/>
        <w:ind w:right="634"/>
        <w:rPr>
          <w:rFonts w:ascii="Arial Narrow" w:hAnsi="Arial Narrow"/>
          <w:b/>
        </w:rPr>
      </w:pPr>
      <w:r w:rsidRPr="002C2B46">
        <w:rPr>
          <w:rFonts w:ascii="Arial Narrow" w:hAnsi="Arial Narrow"/>
          <w:b/>
        </w:rPr>
        <w:t>2</w:t>
      </w:r>
      <w:r w:rsidR="00206C71" w:rsidRPr="002C2B46">
        <w:rPr>
          <w:rFonts w:ascii="Arial Narrow" w:hAnsi="Arial Narrow"/>
          <w:b/>
        </w:rPr>
        <w:t xml:space="preserve">. </w:t>
      </w:r>
      <w:r w:rsidR="00857C1E" w:rsidRPr="002C2B46">
        <w:rPr>
          <w:rFonts w:ascii="Arial Narrow" w:hAnsi="Arial Narrow"/>
          <w:b/>
        </w:rPr>
        <w:t>Task 16-2 Discussion: Update of Medical Advisory Criteria</w:t>
      </w:r>
    </w:p>
    <w:p w:rsidR="0075484B" w:rsidRPr="002C2B46" w:rsidRDefault="00630AEC" w:rsidP="00B84615">
      <w:pPr>
        <w:widowControl w:val="0"/>
        <w:ind w:right="634"/>
        <w:rPr>
          <w:rFonts w:ascii="Arial Narrow" w:hAnsi="Arial Narrow"/>
        </w:rPr>
      </w:pPr>
      <w:r w:rsidRPr="002C2B46">
        <w:rPr>
          <w:rFonts w:ascii="Arial Narrow" w:hAnsi="Arial Narrow"/>
        </w:rPr>
        <w:t xml:space="preserve">The committee </w:t>
      </w:r>
      <w:r w:rsidR="001D54A6" w:rsidRPr="002C2B46">
        <w:rPr>
          <w:rFonts w:ascii="Arial Narrow" w:hAnsi="Arial Narrow"/>
        </w:rPr>
        <w:t xml:space="preserve">discussed the Agency’s current medical advisory criteria and </w:t>
      </w:r>
      <w:r w:rsidR="00B84615">
        <w:rPr>
          <w:rFonts w:ascii="Arial Narrow" w:hAnsi="Arial Narrow"/>
        </w:rPr>
        <w:t>made the following recommendations:</w:t>
      </w:r>
    </w:p>
    <w:p w:rsidR="00E46ECC" w:rsidRPr="002C2B46" w:rsidRDefault="00E46ECC" w:rsidP="0075484B">
      <w:pPr>
        <w:rPr>
          <w:rFonts w:ascii="Arial Narrow" w:hAnsi="Arial Narrow"/>
        </w:rPr>
      </w:pPr>
    </w:p>
    <w:p w:rsidR="00E46ECC" w:rsidRPr="002C2B46" w:rsidRDefault="00E46ECC" w:rsidP="00E46ECC">
      <w:pPr>
        <w:pStyle w:val="ListParagraph"/>
        <w:numPr>
          <w:ilvl w:val="0"/>
          <w:numId w:val="44"/>
        </w:numPr>
        <w:rPr>
          <w:rFonts w:ascii="Arial Narrow" w:hAnsi="Arial Narrow"/>
          <w:sz w:val="22"/>
          <w:szCs w:val="22"/>
        </w:rPr>
      </w:pPr>
      <w:r w:rsidRPr="002C2B46">
        <w:rPr>
          <w:rFonts w:ascii="Arial Narrow" w:hAnsi="Arial Narrow"/>
        </w:rPr>
        <w:t>D. Cardiovascular Condition: §391.41(b)(4)</w:t>
      </w:r>
    </w:p>
    <w:p w:rsidR="00E46ECC" w:rsidRPr="002C2B46" w:rsidRDefault="00E46ECC" w:rsidP="00E46ECC">
      <w:pPr>
        <w:pStyle w:val="ListParagraph"/>
        <w:numPr>
          <w:ilvl w:val="1"/>
          <w:numId w:val="44"/>
        </w:numPr>
        <w:rPr>
          <w:rFonts w:ascii="Arial Narrow" w:hAnsi="Arial Narrow"/>
          <w:u w:val="single"/>
        </w:rPr>
      </w:pPr>
      <w:r w:rsidRPr="002C2B46">
        <w:rPr>
          <w:rFonts w:ascii="Arial Narrow" w:hAnsi="Arial Narrow"/>
        </w:rPr>
        <w:t xml:space="preserve">FMCSA </w:t>
      </w:r>
      <w:r w:rsidR="001D54A6" w:rsidRPr="002C2B46">
        <w:rPr>
          <w:rFonts w:ascii="Arial Narrow" w:hAnsi="Arial Narrow"/>
        </w:rPr>
        <w:t xml:space="preserve">should </w:t>
      </w:r>
      <w:r w:rsidRPr="002C2B46">
        <w:rPr>
          <w:rFonts w:ascii="Arial Narrow" w:hAnsi="Arial Narrow"/>
        </w:rPr>
        <w:t>convene medical expert panel (MEP) to evaluate the cardiovascular standard.</w:t>
      </w:r>
    </w:p>
    <w:p w:rsidR="00973DEC" w:rsidRPr="002C2B46" w:rsidRDefault="00973DEC" w:rsidP="00973DEC">
      <w:pPr>
        <w:pStyle w:val="ListParagraph"/>
        <w:numPr>
          <w:ilvl w:val="0"/>
          <w:numId w:val="44"/>
        </w:numPr>
        <w:rPr>
          <w:rFonts w:ascii="Arial Narrow" w:hAnsi="Arial Narrow"/>
        </w:rPr>
      </w:pPr>
      <w:r w:rsidRPr="002C2B46">
        <w:rPr>
          <w:rFonts w:ascii="Arial Narrow" w:hAnsi="Arial Narrow"/>
        </w:rPr>
        <w:t>E. Respiratory Dysfunction: §391.41(b)(5)</w:t>
      </w:r>
    </w:p>
    <w:p w:rsidR="00973DEC" w:rsidRPr="002C2B46" w:rsidRDefault="00973DEC" w:rsidP="00973DEC">
      <w:pPr>
        <w:pStyle w:val="ListParagraph"/>
        <w:numPr>
          <w:ilvl w:val="1"/>
          <w:numId w:val="44"/>
        </w:numPr>
        <w:rPr>
          <w:rFonts w:ascii="Arial Narrow" w:hAnsi="Arial Narrow"/>
        </w:rPr>
      </w:pPr>
      <w:r w:rsidRPr="002C2B46">
        <w:rPr>
          <w:rFonts w:ascii="Arial Narrow" w:hAnsi="Arial Narrow"/>
        </w:rPr>
        <w:t xml:space="preserve">FMCSA </w:t>
      </w:r>
      <w:r w:rsidR="001D54A6" w:rsidRPr="002C2B46">
        <w:rPr>
          <w:rFonts w:ascii="Arial Narrow" w:hAnsi="Arial Narrow"/>
        </w:rPr>
        <w:t xml:space="preserve">should </w:t>
      </w:r>
      <w:r w:rsidRPr="002C2B46">
        <w:rPr>
          <w:rFonts w:ascii="Arial Narrow" w:hAnsi="Arial Narrow"/>
        </w:rPr>
        <w:t>adopt the MRB/MCSAC recommendations of October 2016.</w:t>
      </w:r>
    </w:p>
    <w:p w:rsidR="00973DEC" w:rsidRPr="002C2B46" w:rsidRDefault="00973DEC" w:rsidP="00973DEC">
      <w:pPr>
        <w:pStyle w:val="ListParagraph"/>
        <w:numPr>
          <w:ilvl w:val="1"/>
          <w:numId w:val="44"/>
        </w:numPr>
        <w:rPr>
          <w:rFonts w:ascii="Arial Narrow" w:hAnsi="Arial Narrow"/>
        </w:rPr>
      </w:pPr>
      <w:r w:rsidRPr="002C2B46">
        <w:rPr>
          <w:rFonts w:ascii="Arial Narrow" w:hAnsi="Arial Narrow"/>
        </w:rPr>
        <w:t>Drivers requiring supplemental oxygen are disqualified from operating a CMV in interstate commerce.</w:t>
      </w:r>
    </w:p>
    <w:p w:rsidR="00973DEC" w:rsidRPr="002C2B46" w:rsidRDefault="00973DEC" w:rsidP="00973DEC">
      <w:pPr>
        <w:pStyle w:val="ListParagraph"/>
        <w:numPr>
          <w:ilvl w:val="0"/>
          <w:numId w:val="44"/>
        </w:numPr>
        <w:rPr>
          <w:rFonts w:ascii="Arial Narrow" w:hAnsi="Arial Narrow"/>
        </w:rPr>
      </w:pPr>
      <w:r w:rsidRPr="002C2B46">
        <w:rPr>
          <w:rFonts w:ascii="Arial Narrow" w:hAnsi="Arial Narrow"/>
        </w:rPr>
        <w:t>F. Hypertension: §391.41(b)(6)</w:t>
      </w:r>
    </w:p>
    <w:p w:rsidR="00973DEC" w:rsidRPr="002C2B46" w:rsidRDefault="00973DEC" w:rsidP="00973DEC">
      <w:pPr>
        <w:pStyle w:val="ListParagraph"/>
        <w:numPr>
          <w:ilvl w:val="1"/>
          <w:numId w:val="44"/>
        </w:numPr>
        <w:rPr>
          <w:rFonts w:ascii="Arial Narrow" w:hAnsi="Arial Narrow"/>
        </w:rPr>
      </w:pPr>
      <w:r w:rsidRPr="002C2B46">
        <w:rPr>
          <w:rFonts w:ascii="Arial Narrow" w:hAnsi="Arial Narrow"/>
        </w:rPr>
        <w:t>FMCSA should convene medical expert panel (MEP) to evaluate the cardiovascular standard, including hypertension. Based on the evaluation of the MEP, the hypertension guidelines should become a standard.</w:t>
      </w:r>
    </w:p>
    <w:p w:rsidR="00973DEC" w:rsidRPr="002C2B46" w:rsidRDefault="00973DEC" w:rsidP="00973DEC">
      <w:pPr>
        <w:pStyle w:val="ListParagraph"/>
        <w:numPr>
          <w:ilvl w:val="0"/>
          <w:numId w:val="44"/>
        </w:numPr>
        <w:rPr>
          <w:rFonts w:ascii="Arial Narrow" w:hAnsi="Arial Narrow"/>
          <w:sz w:val="22"/>
          <w:szCs w:val="22"/>
        </w:rPr>
      </w:pPr>
      <w:r w:rsidRPr="002C2B46">
        <w:rPr>
          <w:rFonts w:ascii="Arial Narrow" w:hAnsi="Arial Narrow"/>
        </w:rPr>
        <w:t>J. Vision: §391.41(b)(10)</w:t>
      </w:r>
    </w:p>
    <w:p w:rsidR="00973DEC" w:rsidRPr="002C2B46" w:rsidRDefault="00973DEC" w:rsidP="00973DEC">
      <w:pPr>
        <w:pStyle w:val="ListParagraph"/>
        <w:numPr>
          <w:ilvl w:val="1"/>
          <w:numId w:val="44"/>
        </w:numPr>
        <w:rPr>
          <w:rFonts w:ascii="Arial Narrow" w:hAnsi="Arial Narrow"/>
        </w:rPr>
      </w:pPr>
      <w:r w:rsidRPr="002C2B46">
        <w:rPr>
          <w:rFonts w:ascii="Arial Narrow" w:hAnsi="Arial Narrow"/>
        </w:rPr>
        <w:t>In 2015</w:t>
      </w:r>
      <w:r w:rsidR="00E95023" w:rsidRPr="002C2B46">
        <w:rPr>
          <w:rFonts w:ascii="Arial Narrow" w:hAnsi="Arial Narrow"/>
        </w:rPr>
        <w:t>,</w:t>
      </w:r>
      <w:r w:rsidRPr="002C2B46">
        <w:rPr>
          <w:rFonts w:ascii="Arial Narrow" w:hAnsi="Arial Narrow"/>
        </w:rPr>
        <w:t xml:space="preserve"> the MRB recommended changes to the vision standard that would replace the vision exemption.</w:t>
      </w:r>
    </w:p>
    <w:p w:rsidR="00973DEC" w:rsidRPr="002C2B46" w:rsidRDefault="00973DEC" w:rsidP="00973DEC">
      <w:pPr>
        <w:pStyle w:val="ListParagraph"/>
        <w:numPr>
          <w:ilvl w:val="0"/>
          <w:numId w:val="44"/>
        </w:numPr>
        <w:rPr>
          <w:rFonts w:ascii="Arial Narrow" w:hAnsi="Arial Narrow"/>
        </w:rPr>
      </w:pPr>
      <w:r w:rsidRPr="002C2B46">
        <w:rPr>
          <w:rFonts w:ascii="Arial Narrow" w:hAnsi="Arial Narrow"/>
        </w:rPr>
        <w:t>L. Drug Use: §391.41(b)(12)</w:t>
      </w:r>
    </w:p>
    <w:p w:rsidR="00973DEC" w:rsidRPr="002C2B46" w:rsidRDefault="00973DEC" w:rsidP="00172CC7">
      <w:pPr>
        <w:pStyle w:val="ListParagraph"/>
        <w:numPr>
          <w:ilvl w:val="1"/>
          <w:numId w:val="44"/>
        </w:numPr>
        <w:ind w:left="1080"/>
        <w:rPr>
          <w:rFonts w:ascii="Arial Narrow" w:hAnsi="Arial Narrow"/>
        </w:rPr>
      </w:pPr>
      <w:r w:rsidRPr="002C2B46">
        <w:rPr>
          <w:rFonts w:ascii="Arial Narrow" w:hAnsi="Arial Narrow"/>
        </w:rPr>
        <w:t>The MRB refers FMCSA to its recommendations</w:t>
      </w:r>
      <w:r w:rsidR="00E95023" w:rsidRPr="002C2B46">
        <w:rPr>
          <w:rFonts w:ascii="Arial Narrow" w:hAnsi="Arial Narrow"/>
        </w:rPr>
        <w:t>,</w:t>
      </w:r>
      <w:r w:rsidRPr="002C2B46">
        <w:rPr>
          <w:rFonts w:ascii="Arial Narrow" w:hAnsi="Arial Narrow"/>
        </w:rPr>
        <w:t xml:space="preserve"> including the 2014 schedule 2 medical form and its October 2016 recommendations on opioids and benzodiazepines.</w:t>
      </w:r>
    </w:p>
    <w:p w:rsidR="007760DD" w:rsidRPr="002C2B46" w:rsidRDefault="007760DD" w:rsidP="007760DD">
      <w:pPr>
        <w:rPr>
          <w:rFonts w:ascii="Arial Narrow" w:hAnsi="Arial Narrow"/>
        </w:rPr>
      </w:pPr>
      <w:r w:rsidRPr="002C2B46">
        <w:rPr>
          <w:rFonts w:ascii="Arial Narrow" w:hAnsi="Arial Narrow"/>
        </w:rPr>
        <w:t xml:space="preserve"> </w:t>
      </w:r>
    </w:p>
    <w:p w:rsidR="007760DD" w:rsidRPr="002C2B46" w:rsidRDefault="00F62E1F" w:rsidP="007760DD">
      <w:pPr>
        <w:widowControl w:val="0"/>
        <w:ind w:right="634"/>
        <w:rPr>
          <w:rFonts w:ascii="Arial Narrow" w:hAnsi="Arial Narrow"/>
          <w:b/>
        </w:rPr>
      </w:pPr>
      <w:r>
        <w:rPr>
          <w:rFonts w:ascii="Arial Narrow" w:hAnsi="Arial Narrow"/>
          <w:b/>
        </w:rPr>
        <w:t>3</w:t>
      </w:r>
      <w:r w:rsidR="007760DD" w:rsidRPr="002C2B46">
        <w:rPr>
          <w:rFonts w:ascii="Arial Narrow" w:hAnsi="Arial Narrow"/>
          <w:b/>
        </w:rPr>
        <w:t xml:space="preserve">. </w:t>
      </w:r>
      <w:r w:rsidR="00857C1E" w:rsidRPr="002C2B46">
        <w:rPr>
          <w:rFonts w:ascii="Arial Narrow" w:hAnsi="Arial Narrow"/>
          <w:b/>
        </w:rPr>
        <w:t>Finalize Report on 16-2 Recommendations</w:t>
      </w:r>
    </w:p>
    <w:p w:rsidR="007760DD" w:rsidRPr="002C2B46" w:rsidRDefault="007760DD" w:rsidP="007760DD">
      <w:pPr>
        <w:widowControl w:val="0"/>
        <w:ind w:right="634"/>
        <w:rPr>
          <w:rFonts w:ascii="Arial Narrow" w:hAnsi="Arial Narrow"/>
          <w:b/>
        </w:rPr>
      </w:pPr>
    </w:p>
    <w:p w:rsidR="001D54A6" w:rsidRPr="002C2B46" w:rsidRDefault="001D54A6" w:rsidP="001D54A6">
      <w:pPr>
        <w:widowControl w:val="0"/>
        <w:ind w:right="634"/>
        <w:rPr>
          <w:rFonts w:ascii="Arial Narrow" w:hAnsi="Arial Narrow"/>
        </w:rPr>
      </w:pPr>
      <w:r w:rsidRPr="002C2B46">
        <w:rPr>
          <w:rFonts w:ascii="Arial Narrow" w:hAnsi="Arial Narrow"/>
        </w:rPr>
        <w:t xml:space="preserve">The committee made changes to the appendix containing the Agency’s regulations </w:t>
      </w:r>
      <w:r w:rsidR="00C26D6F">
        <w:rPr>
          <w:rFonts w:ascii="Arial Narrow" w:hAnsi="Arial Narrow"/>
        </w:rPr>
        <w:t>and</w:t>
      </w:r>
      <w:r w:rsidRPr="002C2B46">
        <w:rPr>
          <w:rFonts w:ascii="Arial Narrow" w:hAnsi="Arial Narrow"/>
        </w:rPr>
        <w:t xml:space="preserve"> guidelines in the form of Medical Advisory Criteria to help certified medical examiners (CME</w:t>
      </w:r>
      <w:r w:rsidR="00F375CE">
        <w:rPr>
          <w:rFonts w:ascii="Arial Narrow" w:hAnsi="Arial Narrow"/>
        </w:rPr>
        <w:t>s</w:t>
      </w:r>
      <w:r w:rsidRPr="002C2B46">
        <w:rPr>
          <w:rFonts w:ascii="Arial Narrow" w:hAnsi="Arial Narrow"/>
        </w:rPr>
        <w:t xml:space="preserve">) </w:t>
      </w:r>
      <w:r w:rsidR="00D72FD0">
        <w:rPr>
          <w:rFonts w:ascii="Arial Narrow" w:hAnsi="Arial Narrow"/>
        </w:rPr>
        <w:t>assess</w:t>
      </w:r>
      <w:r w:rsidRPr="002C2B46">
        <w:rPr>
          <w:rFonts w:ascii="Arial Narrow" w:hAnsi="Arial Narrow"/>
        </w:rPr>
        <w:t xml:space="preserve"> a driver’s physical qualification</w:t>
      </w:r>
      <w:r w:rsidR="00E95023" w:rsidRPr="002C2B46">
        <w:rPr>
          <w:rFonts w:ascii="Arial Narrow" w:hAnsi="Arial Narrow"/>
        </w:rPr>
        <w:t>s</w:t>
      </w:r>
      <w:r w:rsidRPr="002C2B46">
        <w:rPr>
          <w:rFonts w:ascii="Arial Narrow" w:hAnsi="Arial Narrow"/>
        </w:rPr>
        <w:t xml:space="preserve">. </w:t>
      </w:r>
      <w:r w:rsidR="00D72FD0">
        <w:rPr>
          <w:rFonts w:ascii="Arial Narrow" w:hAnsi="Arial Narrow"/>
        </w:rPr>
        <w:t>The appendix is intended to be a working document to be updated as regulations continue to change.</w:t>
      </w:r>
    </w:p>
    <w:p w:rsidR="001D54A6" w:rsidRPr="00172CC7" w:rsidRDefault="001D54A6" w:rsidP="00172CC7">
      <w:pPr>
        <w:widowControl w:val="0"/>
        <w:ind w:right="634"/>
        <w:rPr>
          <w:rFonts w:ascii="Arial Narrow" w:hAnsi="Arial Narrow"/>
          <w:u w:val="single"/>
        </w:rPr>
      </w:pPr>
    </w:p>
    <w:p w:rsidR="007760DD" w:rsidRPr="002C2B46" w:rsidRDefault="007760DD" w:rsidP="00DB3A2D">
      <w:pPr>
        <w:tabs>
          <w:tab w:val="left" w:pos="2340"/>
        </w:tabs>
        <w:rPr>
          <w:rFonts w:ascii="Arial Narrow" w:hAnsi="Arial Narrow"/>
          <w:b/>
        </w:rPr>
      </w:pPr>
    </w:p>
    <w:p w:rsidR="00DB3A2D" w:rsidRPr="002C2B46" w:rsidRDefault="00DB3A2D" w:rsidP="00121D07">
      <w:pPr>
        <w:tabs>
          <w:tab w:val="left" w:pos="2340"/>
        </w:tabs>
        <w:rPr>
          <w:rFonts w:ascii="Arial Narrow" w:hAnsi="Arial Narrow"/>
          <w:b/>
        </w:rPr>
      </w:pPr>
      <w:r w:rsidRPr="002C2B46">
        <w:rPr>
          <w:rFonts w:ascii="Arial Narrow" w:hAnsi="Arial Narrow"/>
          <w:b/>
        </w:rPr>
        <w:lastRenderedPageBreak/>
        <w:t xml:space="preserve">ADJOURNMENT: </w:t>
      </w:r>
      <w:r w:rsidR="007760DD" w:rsidRPr="002C2B46">
        <w:rPr>
          <w:rFonts w:ascii="Arial Narrow" w:hAnsi="Arial Narrow"/>
        </w:rPr>
        <w:t xml:space="preserve">The meeting was adjourned at </w:t>
      </w:r>
      <w:r w:rsidR="003B1EB1" w:rsidRPr="002C2B46">
        <w:rPr>
          <w:rFonts w:ascii="Arial Narrow" w:hAnsi="Arial Narrow"/>
        </w:rPr>
        <w:t>5:40</w:t>
      </w:r>
      <w:r w:rsidR="00E57D49" w:rsidRPr="002C2B46">
        <w:rPr>
          <w:rFonts w:ascii="Arial Narrow" w:hAnsi="Arial Narrow"/>
        </w:rPr>
        <w:t xml:space="preserve"> </w:t>
      </w:r>
      <w:r w:rsidRPr="002C2B46">
        <w:rPr>
          <w:rFonts w:ascii="Arial Narrow" w:hAnsi="Arial Narrow"/>
        </w:rPr>
        <w:t>p</w:t>
      </w:r>
      <w:r w:rsidR="00E57D49" w:rsidRPr="002C2B46">
        <w:rPr>
          <w:rFonts w:ascii="Arial Narrow" w:hAnsi="Arial Narrow"/>
        </w:rPr>
        <w:t>.</w:t>
      </w:r>
      <w:r w:rsidRPr="002C2B46">
        <w:rPr>
          <w:rFonts w:ascii="Arial Narrow" w:hAnsi="Arial Narrow"/>
        </w:rPr>
        <w:t>m.</w:t>
      </w:r>
    </w:p>
    <w:p w:rsidR="00DB3A2D" w:rsidRPr="002C2B46" w:rsidRDefault="00DB3A2D" w:rsidP="00DB3A2D">
      <w:pPr>
        <w:pStyle w:val="Footer"/>
        <w:rPr>
          <w:rFonts w:ascii="Arial Narrow" w:hAnsi="Arial Narrow"/>
        </w:rPr>
      </w:pPr>
    </w:p>
    <w:p w:rsidR="00DB3A2D" w:rsidRPr="002C2B46" w:rsidRDefault="00DB3A2D" w:rsidP="00DB3A2D">
      <w:pPr>
        <w:pStyle w:val="Footer"/>
        <w:rPr>
          <w:rFonts w:ascii="Arial Narrow" w:hAnsi="Arial Narrow"/>
        </w:rPr>
      </w:pPr>
      <w:r w:rsidRPr="002C2B46">
        <w:rPr>
          <w:rFonts w:ascii="Arial Narrow" w:hAnsi="Arial Narrow"/>
        </w:rPr>
        <w:t>We hereby certify that, to the best of our knowledge, the foregoing minutes are accurate and complete.</w:t>
      </w:r>
    </w:p>
    <w:p w:rsidR="00DB3A2D" w:rsidRPr="002C2B46" w:rsidRDefault="00DB3A2D" w:rsidP="00DB3A2D">
      <w:pPr>
        <w:pStyle w:val="Footer"/>
        <w:rPr>
          <w:rFonts w:ascii="Arial Narrow" w:hAnsi="Arial Narrow"/>
        </w:rPr>
      </w:pPr>
    </w:p>
    <w:p w:rsidR="00DB3A2D" w:rsidRPr="002C2B46" w:rsidRDefault="00DB3A2D" w:rsidP="00DB3A2D">
      <w:pPr>
        <w:pStyle w:val="Footer"/>
        <w:rPr>
          <w:rFonts w:ascii="Arial Narrow" w:hAnsi="Arial Narrow"/>
        </w:rPr>
      </w:pPr>
    </w:p>
    <w:p w:rsidR="00F62E1F" w:rsidRDefault="00F62E1F" w:rsidP="00F35D85">
      <w:pPr>
        <w:pStyle w:val="Footer"/>
        <w:keepNext/>
        <w:keepLines/>
        <w:rPr>
          <w:rFonts w:ascii="Arial Narrow" w:hAnsi="Arial Narrow"/>
        </w:rPr>
      </w:pPr>
    </w:p>
    <w:p w:rsidR="00F62E1F" w:rsidRDefault="00F62E1F" w:rsidP="00F35D85">
      <w:pPr>
        <w:pStyle w:val="Footer"/>
        <w:keepNext/>
        <w:keepLines/>
        <w:rPr>
          <w:rFonts w:ascii="Arial Narrow" w:hAnsi="Arial Narrow"/>
        </w:rPr>
      </w:pPr>
    </w:p>
    <w:p w:rsidR="00E4325E" w:rsidRPr="00E4325E" w:rsidRDefault="00E4325E" w:rsidP="00F35D85">
      <w:pPr>
        <w:keepNext/>
        <w:keepLines/>
        <w:rPr>
          <w:rFonts w:ascii="Arial Narrow" w:hAnsi="Arial Narrow"/>
          <w:b/>
          <w:i/>
          <w:u w:val="single"/>
        </w:rPr>
      </w:pPr>
      <w:r w:rsidRPr="00E4325E">
        <w:rPr>
          <w:rFonts w:ascii="Arial Narrow" w:hAnsi="Arial Narrow"/>
          <w:b/>
          <w:i/>
          <w:u w:val="single"/>
        </w:rPr>
        <w:t>//</w:t>
      </w:r>
      <w:r w:rsidRPr="00E4325E">
        <w:rPr>
          <w:rFonts w:ascii="Arial Narrow" w:hAnsi="Arial Narrow"/>
          <w:u w:val="single"/>
        </w:rPr>
        <w:t>Signed</w:t>
      </w:r>
      <w:r w:rsidRPr="00E4325E">
        <w:rPr>
          <w:rFonts w:ascii="Arial Narrow" w:hAnsi="Arial Narrow"/>
          <w:b/>
          <w:i/>
          <w:u w:val="single"/>
        </w:rPr>
        <w:t>//</w:t>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r>
      <w:r w:rsidRPr="00E4325E">
        <w:rPr>
          <w:rFonts w:ascii="Arial Narrow" w:hAnsi="Arial Narrow"/>
          <w:b/>
          <w:i/>
          <w:u w:val="single"/>
        </w:rPr>
        <w:softHyphen/>
        <w:t>_____________</w:t>
      </w:r>
    </w:p>
    <w:p w:rsidR="00F35D85" w:rsidRPr="002C2B46" w:rsidRDefault="00F35D85" w:rsidP="00F35D85">
      <w:pPr>
        <w:keepNext/>
        <w:keepLines/>
        <w:rPr>
          <w:rFonts w:ascii="Arial Narrow" w:hAnsi="Arial Narrow"/>
        </w:rPr>
      </w:pPr>
      <w:r w:rsidRPr="002C2B46">
        <w:rPr>
          <w:rFonts w:ascii="Arial Narrow" w:hAnsi="Arial Narrow"/>
        </w:rPr>
        <w:t>Gina C. Pervall, MD</w:t>
      </w:r>
    </w:p>
    <w:p w:rsidR="00F35D85" w:rsidRPr="002C2B46" w:rsidRDefault="00F35D85" w:rsidP="00F35D85">
      <w:pPr>
        <w:keepNext/>
        <w:keepLines/>
        <w:rPr>
          <w:rFonts w:ascii="Arial Narrow" w:hAnsi="Arial Narrow"/>
        </w:rPr>
      </w:pPr>
      <w:r w:rsidRPr="002C2B46">
        <w:rPr>
          <w:rFonts w:ascii="Arial Narrow" w:hAnsi="Arial Narrow"/>
        </w:rPr>
        <w:t>Chairman, MRB</w:t>
      </w:r>
    </w:p>
    <w:p w:rsidR="00DB3A2D" w:rsidRPr="002C2B46" w:rsidRDefault="00DB3A2D" w:rsidP="00DB3A2D">
      <w:pPr>
        <w:pStyle w:val="Footer"/>
        <w:rPr>
          <w:rFonts w:ascii="Arial Narrow" w:hAnsi="Arial Narrow"/>
        </w:rPr>
      </w:pPr>
    </w:p>
    <w:p w:rsidR="00DB3A2D" w:rsidRPr="002C2B46" w:rsidRDefault="00DB3A2D" w:rsidP="00DB3A2D">
      <w:pPr>
        <w:pStyle w:val="Footer"/>
        <w:rPr>
          <w:rFonts w:ascii="Arial Narrow" w:hAnsi="Arial Narrow"/>
        </w:rPr>
      </w:pPr>
      <w:bookmarkStart w:id="0" w:name="_GoBack"/>
      <w:bookmarkEnd w:id="0"/>
    </w:p>
    <w:p w:rsidR="00DB3A2D" w:rsidRPr="002C2B46" w:rsidRDefault="00DB3A2D" w:rsidP="00DB3A2D">
      <w:pPr>
        <w:pStyle w:val="Footer"/>
        <w:rPr>
          <w:rFonts w:ascii="Arial Narrow" w:hAnsi="Arial Narrow"/>
        </w:rPr>
      </w:pPr>
    </w:p>
    <w:p w:rsidR="00DB3A2D" w:rsidRPr="002C2B46" w:rsidRDefault="00DB3A2D" w:rsidP="00DB3A2D">
      <w:pPr>
        <w:pStyle w:val="Footer"/>
        <w:rPr>
          <w:rFonts w:ascii="Arial Narrow" w:hAnsi="Arial Narrow"/>
        </w:rPr>
      </w:pPr>
    </w:p>
    <w:p w:rsidR="00DB3A2D" w:rsidRPr="00E4325E" w:rsidRDefault="00E4325E" w:rsidP="00DB3A2D">
      <w:pPr>
        <w:pStyle w:val="Footer"/>
        <w:rPr>
          <w:rFonts w:ascii="Arial Narrow" w:hAnsi="Arial Narrow"/>
        </w:rPr>
      </w:pP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sidRPr="00E4325E">
        <w:rPr>
          <w:rFonts w:ascii="Arial Narrow" w:hAnsi="Arial Narrow"/>
          <w:b/>
          <w:i/>
          <w:u w:val="single"/>
        </w:rPr>
        <w:t>__//</w:t>
      </w:r>
      <w:r w:rsidRPr="00E4325E">
        <w:rPr>
          <w:rFonts w:ascii="Arial Narrow" w:hAnsi="Arial Narrow"/>
          <w:u w:val="single"/>
        </w:rPr>
        <w:t>Signed</w:t>
      </w:r>
      <w:r w:rsidRPr="00E4325E">
        <w:rPr>
          <w:rFonts w:ascii="Arial Narrow" w:hAnsi="Arial Narrow"/>
          <w:b/>
          <w:i/>
          <w:u w:val="single"/>
        </w:rPr>
        <w:t>//_______________________</w:t>
      </w:r>
    </w:p>
    <w:p w:rsidR="00DB3A2D" w:rsidRPr="002C2B46" w:rsidRDefault="00D72FD0" w:rsidP="00DB3A2D">
      <w:pPr>
        <w:pStyle w:val="Footer"/>
        <w:rPr>
          <w:rFonts w:ascii="Arial Narrow" w:hAnsi="Arial Narrow"/>
        </w:rPr>
      </w:pPr>
      <w:r>
        <w:rPr>
          <w:rFonts w:ascii="Arial Narrow" w:hAnsi="Arial Narrow"/>
        </w:rPr>
        <w:t xml:space="preserve">Shannon </w:t>
      </w:r>
      <w:r w:rsidR="00377DF8">
        <w:rPr>
          <w:rFonts w:ascii="Arial Narrow" w:hAnsi="Arial Narrow"/>
        </w:rPr>
        <w:t xml:space="preserve">L. </w:t>
      </w:r>
      <w:r>
        <w:rPr>
          <w:rFonts w:ascii="Arial Narrow" w:hAnsi="Arial Narrow"/>
        </w:rPr>
        <w:t>Watson</w:t>
      </w:r>
    </w:p>
    <w:p w:rsidR="00912753" w:rsidRPr="002C2B46" w:rsidRDefault="00DB3A2D" w:rsidP="00C6264D">
      <w:pPr>
        <w:pStyle w:val="Footer"/>
        <w:rPr>
          <w:rFonts w:ascii="Arial Narrow" w:hAnsi="Arial Narrow"/>
        </w:rPr>
      </w:pPr>
      <w:r w:rsidRPr="002C2B46">
        <w:rPr>
          <w:rFonts w:ascii="Arial Narrow" w:hAnsi="Arial Narrow"/>
        </w:rPr>
        <w:t>Designated Federal Officer, M</w:t>
      </w:r>
      <w:r w:rsidR="00377DF8">
        <w:rPr>
          <w:rFonts w:ascii="Arial Narrow" w:hAnsi="Arial Narrow"/>
        </w:rPr>
        <w:t>RB</w:t>
      </w:r>
    </w:p>
    <w:sectPr w:rsidR="00912753" w:rsidRPr="002C2B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6F7" w:rsidRDefault="00E416F7" w:rsidP="006D55D6">
      <w:r>
        <w:separator/>
      </w:r>
    </w:p>
  </w:endnote>
  <w:endnote w:type="continuationSeparator" w:id="0">
    <w:p w:rsidR="00E416F7" w:rsidRDefault="00E416F7" w:rsidP="006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41240"/>
      <w:docPartObj>
        <w:docPartGallery w:val="Page Numbers (Bottom of Page)"/>
        <w:docPartUnique/>
      </w:docPartObj>
    </w:sdtPr>
    <w:sdtEndPr>
      <w:rPr>
        <w:noProof/>
      </w:rPr>
    </w:sdtEndPr>
    <w:sdtContent>
      <w:p w:rsidR="00B10A6F" w:rsidRDefault="00C26D6F">
        <w:pPr>
          <w:pStyle w:val="Footer"/>
          <w:jc w:val="right"/>
        </w:pPr>
        <w:r>
          <w:t>Meeting Minutes</w:t>
        </w:r>
        <w:r>
          <w:tab/>
          <w:t>October 25, 2016</w:t>
        </w:r>
        <w:r>
          <w:tab/>
        </w:r>
        <w:r w:rsidR="00B10A6F">
          <w:fldChar w:fldCharType="begin"/>
        </w:r>
        <w:r w:rsidR="00B10A6F">
          <w:instrText xml:space="preserve"> PAGE   \* MERGEFORMAT </w:instrText>
        </w:r>
        <w:r w:rsidR="00B10A6F">
          <w:fldChar w:fldCharType="separate"/>
        </w:r>
        <w:r w:rsidR="00BB61EF">
          <w:rPr>
            <w:noProof/>
          </w:rPr>
          <w:t>4</w:t>
        </w:r>
        <w:r w:rsidR="00B10A6F">
          <w:rPr>
            <w:noProof/>
          </w:rPr>
          <w:fldChar w:fldCharType="end"/>
        </w:r>
      </w:p>
    </w:sdtContent>
  </w:sdt>
  <w:p w:rsidR="00B10A6F" w:rsidRDefault="00B10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6F7" w:rsidRDefault="00E416F7" w:rsidP="006D55D6">
      <w:r>
        <w:separator/>
      </w:r>
    </w:p>
  </w:footnote>
  <w:footnote w:type="continuationSeparator" w:id="0">
    <w:p w:rsidR="00E416F7" w:rsidRDefault="00E416F7" w:rsidP="006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6F" w:rsidRDefault="00B10A6F" w:rsidP="001C7B26">
    <w:pPr>
      <w:rPr>
        <w:rFonts w:ascii="Arial Rounded MT Bold" w:hAnsi="Arial Rounded MT Bold"/>
        <w:color w:val="0000FF"/>
        <w:sz w:val="52"/>
        <w:szCs w:val="52"/>
      </w:rPr>
    </w:pPr>
    <w:r>
      <w:rPr>
        <w:rFonts w:ascii="Arial" w:hAnsi="Arial" w:cs="Arial"/>
        <w:noProof/>
        <w:sz w:val="20"/>
        <w:szCs w:val="20"/>
      </w:rPr>
      <w:drawing>
        <wp:inline distT="0" distB="0" distL="0" distR="0" wp14:anchorId="2B2685DF" wp14:editId="7FEA8E95">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B10A6F" w:rsidRPr="009330EC" w:rsidRDefault="009330EC" w:rsidP="009330EC">
    <w:pPr>
      <w:pStyle w:val="Header"/>
      <w:spacing w:after="200"/>
      <w:rPr>
        <w:rFonts w:ascii="Agency FB" w:hAnsi="Agency FB"/>
        <w:color w:val="0000FF"/>
        <w:sz w:val="20"/>
        <w:szCs w:val="20"/>
      </w:rPr>
    </w:pPr>
    <w:r>
      <w:rPr>
        <w:rFonts w:ascii="Agency FB" w:hAnsi="Agency FB"/>
        <w:color w:val="0000FF"/>
        <w:sz w:val="40"/>
        <w:szCs w:val="40"/>
      </w:rPr>
      <w:t>M</w:t>
    </w:r>
    <w:r>
      <w:rPr>
        <w:rFonts w:ascii="Agency FB" w:hAnsi="Agency FB"/>
        <w:color w:val="0000FF"/>
        <w:sz w:val="20"/>
        <w:szCs w:val="20"/>
      </w:rPr>
      <w:t xml:space="preserve">EDICAL </w:t>
    </w:r>
    <w:r>
      <w:rPr>
        <w:rFonts w:ascii="Agency FB" w:hAnsi="Agency FB"/>
        <w:color w:val="0000FF"/>
        <w:sz w:val="40"/>
        <w:szCs w:val="40"/>
      </w:rPr>
      <w:t>R</w:t>
    </w:r>
    <w:r>
      <w:rPr>
        <w:rFonts w:ascii="Agency FB" w:hAnsi="Agency FB"/>
        <w:color w:val="0000FF"/>
        <w:sz w:val="20"/>
        <w:szCs w:val="20"/>
      </w:rPr>
      <w:t xml:space="preserve">EVIEW </w:t>
    </w:r>
    <w:r>
      <w:rPr>
        <w:rFonts w:ascii="Agency FB" w:hAnsi="Agency FB"/>
        <w:color w:val="0000FF"/>
        <w:sz w:val="40"/>
        <w:szCs w:val="40"/>
      </w:rPr>
      <w:t>B</w:t>
    </w:r>
    <w:r>
      <w:rPr>
        <w:rFonts w:ascii="Agency FB" w:hAnsi="Agency FB"/>
        <w:color w:val="0000FF"/>
        <w:sz w:val="20"/>
        <w:szCs w:val="20"/>
      </w:rPr>
      <w:t>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490"/>
    <w:multiLevelType w:val="hybridMultilevel"/>
    <w:tmpl w:val="A704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3052"/>
    <w:multiLevelType w:val="hybridMultilevel"/>
    <w:tmpl w:val="E440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92B89"/>
    <w:multiLevelType w:val="hybridMultilevel"/>
    <w:tmpl w:val="A29845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34E72"/>
    <w:multiLevelType w:val="hybridMultilevel"/>
    <w:tmpl w:val="26CCD720"/>
    <w:lvl w:ilvl="0" w:tplc="F10AD65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87DAF"/>
    <w:multiLevelType w:val="hybridMultilevel"/>
    <w:tmpl w:val="D0C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5BC6"/>
    <w:multiLevelType w:val="hybridMultilevel"/>
    <w:tmpl w:val="0CA4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60668"/>
    <w:multiLevelType w:val="hybridMultilevel"/>
    <w:tmpl w:val="81064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D5E70"/>
    <w:multiLevelType w:val="hybridMultilevel"/>
    <w:tmpl w:val="89D2D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D62FB"/>
    <w:multiLevelType w:val="hybridMultilevel"/>
    <w:tmpl w:val="F3B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3323"/>
    <w:multiLevelType w:val="hybridMultilevel"/>
    <w:tmpl w:val="EA3C8B96"/>
    <w:lvl w:ilvl="0" w:tplc="04090015">
      <w:start w:val="1"/>
      <w:numFmt w:val="upperLetter"/>
      <w:lvlText w:val="%1."/>
      <w:lvlJc w:val="left"/>
      <w:pPr>
        <w:ind w:left="720" w:hanging="360"/>
      </w:pPr>
      <w:rPr>
        <w:rFonts w:hint="default"/>
      </w:rPr>
    </w:lvl>
    <w:lvl w:ilvl="1" w:tplc="86E44BE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B7979"/>
    <w:multiLevelType w:val="hybridMultilevel"/>
    <w:tmpl w:val="2BE2C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A66DA"/>
    <w:multiLevelType w:val="hybridMultilevel"/>
    <w:tmpl w:val="84DEA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7F078B"/>
    <w:multiLevelType w:val="hybridMultilevel"/>
    <w:tmpl w:val="3C9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74DFA"/>
    <w:multiLevelType w:val="hybridMultilevel"/>
    <w:tmpl w:val="46A0D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47EBE"/>
    <w:multiLevelType w:val="hybridMultilevel"/>
    <w:tmpl w:val="368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47A7"/>
    <w:multiLevelType w:val="hybridMultilevel"/>
    <w:tmpl w:val="F9C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4456E"/>
    <w:multiLevelType w:val="hybridMultilevel"/>
    <w:tmpl w:val="AC98ED3C"/>
    <w:lvl w:ilvl="0" w:tplc="4006B5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D7571"/>
    <w:multiLevelType w:val="hybridMultilevel"/>
    <w:tmpl w:val="65A6F0F8"/>
    <w:lvl w:ilvl="0" w:tplc="040EFF8C">
      <w:start w:val="1"/>
      <w:numFmt w:val="bullet"/>
      <w:lvlText w:val=""/>
      <w:lvlJc w:val="left"/>
      <w:pPr>
        <w:ind w:left="1080" w:hanging="360"/>
      </w:pPr>
      <w:rPr>
        <w:rFonts w:ascii="Symbol" w:hAnsi="Symbol" w:hint="default"/>
        <w:sz w:val="22"/>
        <w:szCs w:val="22"/>
      </w:rPr>
    </w:lvl>
    <w:lvl w:ilvl="1" w:tplc="F656EBF2">
      <w:start w:val="1"/>
      <w:numFmt w:val="bullet"/>
      <w:lvlText w:val=""/>
      <w:lvlJc w:val="left"/>
      <w:pPr>
        <w:ind w:left="1800" w:hanging="360"/>
      </w:pPr>
      <w:rPr>
        <w:rFonts w:ascii="Symbol" w:hAnsi="Symbol"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B51DB"/>
    <w:multiLevelType w:val="hybridMultilevel"/>
    <w:tmpl w:val="21D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F05BF"/>
    <w:multiLevelType w:val="hybridMultilevel"/>
    <w:tmpl w:val="3858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C0B80"/>
    <w:multiLevelType w:val="hybridMultilevel"/>
    <w:tmpl w:val="CB2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91ABA"/>
    <w:multiLevelType w:val="hybridMultilevel"/>
    <w:tmpl w:val="0E8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B30DC"/>
    <w:multiLevelType w:val="hybridMultilevel"/>
    <w:tmpl w:val="487874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51109"/>
    <w:multiLevelType w:val="hybridMultilevel"/>
    <w:tmpl w:val="800C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11D23"/>
    <w:multiLevelType w:val="hybridMultilevel"/>
    <w:tmpl w:val="0D1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F7E1F"/>
    <w:multiLevelType w:val="hybridMultilevel"/>
    <w:tmpl w:val="981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144AB"/>
    <w:multiLevelType w:val="hybridMultilevel"/>
    <w:tmpl w:val="318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46C1A"/>
    <w:multiLevelType w:val="hybridMultilevel"/>
    <w:tmpl w:val="ADE84CF2"/>
    <w:lvl w:ilvl="0" w:tplc="20B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D0DB6"/>
    <w:multiLevelType w:val="hybridMultilevel"/>
    <w:tmpl w:val="67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3265B"/>
    <w:multiLevelType w:val="hybridMultilevel"/>
    <w:tmpl w:val="F1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27705"/>
    <w:multiLevelType w:val="hybridMultilevel"/>
    <w:tmpl w:val="774C14FE"/>
    <w:lvl w:ilvl="0" w:tplc="4006B5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229D2"/>
    <w:multiLevelType w:val="hybridMultilevel"/>
    <w:tmpl w:val="2C48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A3728"/>
    <w:multiLevelType w:val="hybridMultilevel"/>
    <w:tmpl w:val="DCDE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140BE"/>
    <w:multiLevelType w:val="hybridMultilevel"/>
    <w:tmpl w:val="E4BEC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C699D"/>
    <w:multiLevelType w:val="hybridMultilevel"/>
    <w:tmpl w:val="0C3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94C71"/>
    <w:multiLevelType w:val="hybridMultilevel"/>
    <w:tmpl w:val="B5BEB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B3A70"/>
    <w:multiLevelType w:val="hybridMultilevel"/>
    <w:tmpl w:val="1F848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19"/>
  </w:num>
  <w:num w:numId="4">
    <w:abstractNumId w:val="28"/>
  </w:num>
  <w:num w:numId="5">
    <w:abstractNumId w:val="16"/>
  </w:num>
  <w:num w:numId="6">
    <w:abstractNumId w:val="7"/>
  </w:num>
  <w:num w:numId="7">
    <w:abstractNumId w:val="41"/>
  </w:num>
  <w:num w:numId="8">
    <w:abstractNumId w:val="23"/>
  </w:num>
  <w:num w:numId="9">
    <w:abstractNumId w:val="35"/>
  </w:num>
  <w:num w:numId="10">
    <w:abstractNumId w:val="4"/>
  </w:num>
  <w:num w:numId="11">
    <w:abstractNumId w:val="31"/>
  </w:num>
  <w:num w:numId="12">
    <w:abstractNumId w:val="32"/>
  </w:num>
  <w:num w:numId="13">
    <w:abstractNumId w:val="9"/>
  </w:num>
  <w:num w:numId="14">
    <w:abstractNumId w:val="34"/>
  </w:num>
  <w:num w:numId="15">
    <w:abstractNumId w:val="40"/>
  </w:num>
  <w:num w:numId="16">
    <w:abstractNumId w:val="29"/>
  </w:num>
  <w:num w:numId="17">
    <w:abstractNumId w:val="24"/>
  </w:num>
  <w:num w:numId="18">
    <w:abstractNumId w:val="33"/>
  </w:num>
  <w:num w:numId="19">
    <w:abstractNumId w:val="12"/>
  </w:num>
  <w:num w:numId="20">
    <w:abstractNumId w:val="8"/>
  </w:num>
  <w:num w:numId="21">
    <w:abstractNumId w:val="5"/>
  </w:num>
  <w:num w:numId="22">
    <w:abstractNumId w:val="13"/>
  </w:num>
  <w:num w:numId="23">
    <w:abstractNumId w:val="0"/>
  </w:num>
  <w:num w:numId="24">
    <w:abstractNumId w:val="11"/>
  </w:num>
  <w:num w:numId="25">
    <w:abstractNumId w:val="1"/>
  </w:num>
  <w:num w:numId="26">
    <w:abstractNumId w:val="21"/>
  </w:num>
  <w:num w:numId="27">
    <w:abstractNumId w:val="44"/>
  </w:num>
  <w:num w:numId="28">
    <w:abstractNumId w:val="39"/>
  </w:num>
  <w:num w:numId="29">
    <w:abstractNumId w:val="37"/>
  </w:num>
  <w:num w:numId="30">
    <w:abstractNumId w:val="43"/>
  </w:num>
  <w:num w:numId="31">
    <w:abstractNumId w:val="22"/>
  </w:num>
  <w:num w:numId="32">
    <w:abstractNumId w:val="30"/>
  </w:num>
  <w:num w:numId="33">
    <w:abstractNumId w:val="15"/>
  </w:num>
  <w:num w:numId="34">
    <w:abstractNumId w:val="25"/>
  </w:num>
  <w:num w:numId="35">
    <w:abstractNumId w:val="6"/>
  </w:num>
  <w:num w:numId="36">
    <w:abstractNumId w:val="27"/>
  </w:num>
  <w:num w:numId="37">
    <w:abstractNumId w:val="36"/>
  </w:num>
  <w:num w:numId="38">
    <w:abstractNumId w:val="18"/>
  </w:num>
  <w:num w:numId="39">
    <w:abstractNumId w:val="38"/>
  </w:num>
  <w:num w:numId="40">
    <w:abstractNumId w:val="17"/>
  </w:num>
  <w:num w:numId="41">
    <w:abstractNumId w:val="14"/>
  </w:num>
  <w:num w:numId="42">
    <w:abstractNumId w:val="3"/>
  </w:num>
  <w:num w:numId="43">
    <w:abstractNumId w:val="26"/>
  </w:num>
  <w:num w:numId="44">
    <w:abstractNumId w:val="2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430E"/>
    <w:rsid w:val="00004494"/>
    <w:rsid w:val="00007D05"/>
    <w:rsid w:val="00013DAD"/>
    <w:rsid w:val="00014484"/>
    <w:rsid w:val="00017E1F"/>
    <w:rsid w:val="0002155F"/>
    <w:rsid w:val="00023932"/>
    <w:rsid w:val="000258F2"/>
    <w:rsid w:val="00030DE0"/>
    <w:rsid w:val="00067B50"/>
    <w:rsid w:val="00083998"/>
    <w:rsid w:val="00094AA5"/>
    <w:rsid w:val="00097BF3"/>
    <w:rsid w:val="000A632D"/>
    <w:rsid w:val="000B75F0"/>
    <w:rsid w:val="000B7C9E"/>
    <w:rsid w:val="000C1B1F"/>
    <w:rsid w:val="000C6351"/>
    <w:rsid w:val="000C63C0"/>
    <w:rsid w:val="000D4D50"/>
    <w:rsid w:val="000E5FEA"/>
    <w:rsid w:val="000E66FE"/>
    <w:rsid w:val="000F3333"/>
    <w:rsid w:val="000F3455"/>
    <w:rsid w:val="000F5B61"/>
    <w:rsid w:val="000F77E5"/>
    <w:rsid w:val="00101C35"/>
    <w:rsid w:val="001025BF"/>
    <w:rsid w:val="001154A5"/>
    <w:rsid w:val="00115860"/>
    <w:rsid w:val="00121D00"/>
    <w:rsid w:val="00121D07"/>
    <w:rsid w:val="00122D68"/>
    <w:rsid w:val="00127237"/>
    <w:rsid w:val="00136CAC"/>
    <w:rsid w:val="00156BA6"/>
    <w:rsid w:val="001610A9"/>
    <w:rsid w:val="00172CC7"/>
    <w:rsid w:val="001739AD"/>
    <w:rsid w:val="001B3D5E"/>
    <w:rsid w:val="001B440C"/>
    <w:rsid w:val="001C7B26"/>
    <w:rsid w:val="001D18CA"/>
    <w:rsid w:val="001D54A6"/>
    <w:rsid w:val="001E75E1"/>
    <w:rsid w:val="001F2565"/>
    <w:rsid w:val="00206C71"/>
    <w:rsid w:val="00210EE2"/>
    <w:rsid w:val="002122FD"/>
    <w:rsid w:val="00216E5F"/>
    <w:rsid w:val="0022344E"/>
    <w:rsid w:val="002237AE"/>
    <w:rsid w:val="00223AEE"/>
    <w:rsid w:val="00231155"/>
    <w:rsid w:val="00235190"/>
    <w:rsid w:val="00257F71"/>
    <w:rsid w:val="002631C4"/>
    <w:rsid w:val="00274C4C"/>
    <w:rsid w:val="002A43BD"/>
    <w:rsid w:val="002C2B46"/>
    <w:rsid w:val="002C41D2"/>
    <w:rsid w:val="002D30B5"/>
    <w:rsid w:val="002E2953"/>
    <w:rsid w:val="002F519F"/>
    <w:rsid w:val="00307E22"/>
    <w:rsid w:val="003177F9"/>
    <w:rsid w:val="003263E4"/>
    <w:rsid w:val="00332D7F"/>
    <w:rsid w:val="003428FF"/>
    <w:rsid w:val="00362D79"/>
    <w:rsid w:val="00377DF8"/>
    <w:rsid w:val="00385285"/>
    <w:rsid w:val="00387302"/>
    <w:rsid w:val="003932B9"/>
    <w:rsid w:val="003944EA"/>
    <w:rsid w:val="003A2A3E"/>
    <w:rsid w:val="003B1EB1"/>
    <w:rsid w:val="003C2255"/>
    <w:rsid w:val="003C2332"/>
    <w:rsid w:val="003D71A9"/>
    <w:rsid w:val="003D7CF9"/>
    <w:rsid w:val="003F6E82"/>
    <w:rsid w:val="00412B56"/>
    <w:rsid w:val="00442B80"/>
    <w:rsid w:val="0048250A"/>
    <w:rsid w:val="004825AF"/>
    <w:rsid w:val="0048483E"/>
    <w:rsid w:val="004B397F"/>
    <w:rsid w:val="004B54B9"/>
    <w:rsid w:val="004B6996"/>
    <w:rsid w:val="004C1CEE"/>
    <w:rsid w:val="004C6F12"/>
    <w:rsid w:val="004E1E76"/>
    <w:rsid w:val="004E4E46"/>
    <w:rsid w:val="004F314E"/>
    <w:rsid w:val="004F5CCA"/>
    <w:rsid w:val="00500357"/>
    <w:rsid w:val="00507B1B"/>
    <w:rsid w:val="00520F2A"/>
    <w:rsid w:val="005412AB"/>
    <w:rsid w:val="005567A1"/>
    <w:rsid w:val="005749FD"/>
    <w:rsid w:val="00595171"/>
    <w:rsid w:val="005B0F84"/>
    <w:rsid w:val="005B7C92"/>
    <w:rsid w:val="005C3D7F"/>
    <w:rsid w:val="005C49C0"/>
    <w:rsid w:val="005C6515"/>
    <w:rsid w:val="005E0F36"/>
    <w:rsid w:val="005F74E5"/>
    <w:rsid w:val="006050A0"/>
    <w:rsid w:val="00607D63"/>
    <w:rsid w:val="00624051"/>
    <w:rsid w:val="00630AEC"/>
    <w:rsid w:val="00635F97"/>
    <w:rsid w:val="006374A8"/>
    <w:rsid w:val="00637697"/>
    <w:rsid w:val="006403CD"/>
    <w:rsid w:val="006478DD"/>
    <w:rsid w:val="00647CEB"/>
    <w:rsid w:val="00652071"/>
    <w:rsid w:val="00652550"/>
    <w:rsid w:val="00652580"/>
    <w:rsid w:val="00673A5A"/>
    <w:rsid w:val="006926E3"/>
    <w:rsid w:val="006B040A"/>
    <w:rsid w:val="006D0B35"/>
    <w:rsid w:val="006D55D6"/>
    <w:rsid w:val="006D5775"/>
    <w:rsid w:val="006F21CE"/>
    <w:rsid w:val="006F38C4"/>
    <w:rsid w:val="0071590C"/>
    <w:rsid w:val="00721A58"/>
    <w:rsid w:val="00725095"/>
    <w:rsid w:val="00732C97"/>
    <w:rsid w:val="00733433"/>
    <w:rsid w:val="00750715"/>
    <w:rsid w:val="0075484B"/>
    <w:rsid w:val="007760DD"/>
    <w:rsid w:val="00790EF8"/>
    <w:rsid w:val="0079167B"/>
    <w:rsid w:val="007A1646"/>
    <w:rsid w:val="007B0053"/>
    <w:rsid w:val="007B6166"/>
    <w:rsid w:val="007D47E0"/>
    <w:rsid w:val="007E27A3"/>
    <w:rsid w:val="0081098F"/>
    <w:rsid w:val="00825820"/>
    <w:rsid w:val="00827803"/>
    <w:rsid w:val="0084676B"/>
    <w:rsid w:val="00855E75"/>
    <w:rsid w:val="00857C1E"/>
    <w:rsid w:val="008600CE"/>
    <w:rsid w:val="00880493"/>
    <w:rsid w:val="00886A46"/>
    <w:rsid w:val="008A65FC"/>
    <w:rsid w:val="008B414C"/>
    <w:rsid w:val="008D74A1"/>
    <w:rsid w:val="008E13FC"/>
    <w:rsid w:val="008F5119"/>
    <w:rsid w:val="008F6F6B"/>
    <w:rsid w:val="0090108F"/>
    <w:rsid w:val="009017D8"/>
    <w:rsid w:val="00904CAC"/>
    <w:rsid w:val="00912753"/>
    <w:rsid w:val="00920C33"/>
    <w:rsid w:val="009330EC"/>
    <w:rsid w:val="00954425"/>
    <w:rsid w:val="00961795"/>
    <w:rsid w:val="00970393"/>
    <w:rsid w:val="00973DEC"/>
    <w:rsid w:val="009773C3"/>
    <w:rsid w:val="009848B9"/>
    <w:rsid w:val="009955C1"/>
    <w:rsid w:val="009A24D6"/>
    <w:rsid w:val="009D2612"/>
    <w:rsid w:val="009D399E"/>
    <w:rsid w:val="009E140E"/>
    <w:rsid w:val="009E34F5"/>
    <w:rsid w:val="009E3F9A"/>
    <w:rsid w:val="009E4841"/>
    <w:rsid w:val="009F75A9"/>
    <w:rsid w:val="00A03962"/>
    <w:rsid w:val="00A115B8"/>
    <w:rsid w:val="00A216DA"/>
    <w:rsid w:val="00A24EAF"/>
    <w:rsid w:val="00A25CE0"/>
    <w:rsid w:val="00A347C7"/>
    <w:rsid w:val="00A55807"/>
    <w:rsid w:val="00A63250"/>
    <w:rsid w:val="00A64800"/>
    <w:rsid w:val="00A8143D"/>
    <w:rsid w:val="00A834E6"/>
    <w:rsid w:val="00A9127E"/>
    <w:rsid w:val="00A91BDA"/>
    <w:rsid w:val="00A9475E"/>
    <w:rsid w:val="00A9663F"/>
    <w:rsid w:val="00AA1F68"/>
    <w:rsid w:val="00AA62D3"/>
    <w:rsid w:val="00AB7A78"/>
    <w:rsid w:val="00AC2A96"/>
    <w:rsid w:val="00AE65F3"/>
    <w:rsid w:val="00AE7D3E"/>
    <w:rsid w:val="00B003F0"/>
    <w:rsid w:val="00B10A6F"/>
    <w:rsid w:val="00B315C5"/>
    <w:rsid w:val="00B37B8F"/>
    <w:rsid w:val="00B401B5"/>
    <w:rsid w:val="00B54234"/>
    <w:rsid w:val="00B548F4"/>
    <w:rsid w:val="00B63AE6"/>
    <w:rsid w:val="00B67F6E"/>
    <w:rsid w:val="00B84615"/>
    <w:rsid w:val="00BA4C01"/>
    <w:rsid w:val="00BB062B"/>
    <w:rsid w:val="00BB0636"/>
    <w:rsid w:val="00BB1BB5"/>
    <w:rsid w:val="00BB3FCF"/>
    <w:rsid w:val="00BB61EF"/>
    <w:rsid w:val="00BC795F"/>
    <w:rsid w:val="00BD03B6"/>
    <w:rsid w:val="00BD2AF7"/>
    <w:rsid w:val="00BF73DC"/>
    <w:rsid w:val="00BF7D81"/>
    <w:rsid w:val="00C065D7"/>
    <w:rsid w:val="00C06FAE"/>
    <w:rsid w:val="00C07C7C"/>
    <w:rsid w:val="00C12A01"/>
    <w:rsid w:val="00C263A8"/>
    <w:rsid w:val="00C26D6F"/>
    <w:rsid w:val="00C308D2"/>
    <w:rsid w:val="00C32878"/>
    <w:rsid w:val="00C361D1"/>
    <w:rsid w:val="00C51E38"/>
    <w:rsid w:val="00C6264D"/>
    <w:rsid w:val="00C677D9"/>
    <w:rsid w:val="00C83F28"/>
    <w:rsid w:val="00C9322F"/>
    <w:rsid w:val="00CA1B83"/>
    <w:rsid w:val="00CA5861"/>
    <w:rsid w:val="00CC0A6D"/>
    <w:rsid w:val="00CC1A29"/>
    <w:rsid w:val="00CC4C58"/>
    <w:rsid w:val="00CD068B"/>
    <w:rsid w:val="00CD5D75"/>
    <w:rsid w:val="00CE030D"/>
    <w:rsid w:val="00CE7F7C"/>
    <w:rsid w:val="00D1322E"/>
    <w:rsid w:val="00D178AC"/>
    <w:rsid w:val="00D21FDA"/>
    <w:rsid w:val="00D3155B"/>
    <w:rsid w:val="00D34D74"/>
    <w:rsid w:val="00D40C0D"/>
    <w:rsid w:val="00D4130A"/>
    <w:rsid w:val="00D43330"/>
    <w:rsid w:val="00D444ED"/>
    <w:rsid w:val="00D72FD0"/>
    <w:rsid w:val="00D74A66"/>
    <w:rsid w:val="00D775F2"/>
    <w:rsid w:val="00D87D3E"/>
    <w:rsid w:val="00D965B3"/>
    <w:rsid w:val="00DA5F35"/>
    <w:rsid w:val="00DA6F8F"/>
    <w:rsid w:val="00DB3A2D"/>
    <w:rsid w:val="00DB74D9"/>
    <w:rsid w:val="00DC0FA7"/>
    <w:rsid w:val="00DC3246"/>
    <w:rsid w:val="00DC7A37"/>
    <w:rsid w:val="00E04264"/>
    <w:rsid w:val="00E04363"/>
    <w:rsid w:val="00E20E5B"/>
    <w:rsid w:val="00E30B0D"/>
    <w:rsid w:val="00E3561D"/>
    <w:rsid w:val="00E416F7"/>
    <w:rsid w:val="00E4325E"/>
    <w:rsid w:val="00E43CEF"/>
    <w:rsid w:val="00E46ECC"/>
    <w:rsid w:val="00E47324"/>
    <w:rsid w:val="00E47FF5"/>
    <w:rsid w:val="00E506D7"/>
    <w:rsid w:val="00E57D49"/>
    <w:rsid w:val="00E57E14"/>
    <w:rsid w:val="00E60EBE"/>
    <w:rsid w:val="00E70356"/>
    <w:rsid w:val="00E7747A"/>
    <w:rsid w:val="00E81665"/>
    <w:rsid w:val="00E8167F"/>
    <w:rsid w:val="00E95023"/>
    <w:rsid w:val="00E951F0"/>
    <w:rsid w:val="00EA12A8"/>
    <w:rsid w:val="00EE5557"/>
    <w:rsid w:val="00EF0D99"/>
    <w:rsid w:val="00EF42A6"/>
    <w:rsid w:val="00EF7478"/>
    <w:rsid w:val="00F166C6"/>
    <w:rsid w:val="00F32754"/>
    <w:rsid w:val="00F350A4"/>
    <w:rsid w:val="00F35D85"/>
    <w:rsid w:val="00F375CE"/>
    <w:rsid w:val="00F50D64"/>
    <w:rsid w:val="00F56627"/>
    <w:rsid w:val="00F6154F"/>
    <w:rsid w:val="00F61A47"/>
    <w:rsid w:val="00F62E1F"/>
    <w:rsid w:val="00F70805"/>
    <w:rsid w:val="00F71BB8"/>
    <w:rsid w:val="00F767DB"/>
    <w:rsid w:val="00F929E6"/>
    <w:rsid w:val="00F9436D"/>
    <w:rsid w:val="00F97015"/>
    <w:rsid w:val="00FA38E2"/>
    <w:rsid w:val="00FD2C98"/>
    <w:rsid w:val="00FE1904"/>
    <w:rsid w:val="00FE3628"/>
    <w:rsid w:val="00FF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996AE-9D90-4BCC-8F17-A74E236C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D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5D6"/>
    <w:pPr>
      <w:tabs>
        <w:tab w:val="center" w:pos="4680"/>
        <w:tab w:val="right" w:pos="9360"/>
      </w:tabs>
    </w:pPr>
  </w:style>
  <w:style w:type="character" w:customStyle="1" w:styleId="HeaderChar">
    <w:name w:val="Header Char"/>
    <w:basedOn w:val="DefaultParagraphFont"/>
    <w:link w:val="Header"/>
    <w:uiPriority w:val="99"/>
    <w:rsid w:val="006D55D6"/>
  </w:style>
  <w:style w:type="paragraph" w:styleId="Footer">
    <w:name w:val="footer"/>
    <w:basedOn w:val="Normal"/>
    <w:link w:val="FooterChar"/>
    <w:uiPriority w:val="99"/>
    <w:unhideWhenUsed/>
    <w:rsid w:val="006D55D6"/>
    <w:pPr>
      <w:tabs>
        <w:tab w:val="center" w:pos="4680"/>
        <w:tab w:val="right" w:pos="9360"/>
      </w:tabs>
    </w:pPr>
  </w:style>
  <w:style w:type="character" w:customStyle="1" w:styleId="FooterChar">
    <w:name w:val="Footer Char"/>
    <w:basedOn w:val="DefaultParagraphFont"/>
    <w:link w:val="Footer"/>
    <w:uiPriority w:val="99"/>
    <w:rsid w:val="006D55D6"/>
  </w:style>
  <w:style w:type="paragraph" w:styleId="BalloonText">
    <w:name w:val="Balloon Text"/>
    <w:basedOn w:val="Normal"/>
    <w:link w:val="BalloonTextChar"/>
    <w:uiPriority w:val="99"/>
    <w:semiHidden/>
    <w:unhideWhenUsed/>
    <w:rsid w:val="006D55D6"/>
    <w:rPr>
      <w:rFonts w:ascii="Tahoma" w:hAnsi="Tahoma" w:cs="Tahoma"/>
      <w:sz w:val="16"/>
      <w:szCs w:val="16"/>
    </w:rPr>
  </w:style>
  <w:style w:type="character" w:customStyle="1" w:styleId="BalloonTextChar">
    <w:name w:val="Balloon Text Char"/>
    <w:basedOn w:val="DefaultParagraphFont"/>
    <w:link w:val="BalloonText"/>
    <w:uiPriority w:val="99"/>
    <w:semiHidden/>
    <w:rsid w:val="006D55D6"/>
    <w:rPr>
      <w:rFonts w:ascii="Tahoma" w:hAnsi="Tahoma" w:cs="Tahoma"/>
      <w:sz w:val="16"/>
      <w:szCs w:val="16"/>
    </w:rPr>
  </w:style>
  <w:style w:type="character" w:styleId="PageNumber">
    <w:name w:val="page number"/>
    <w:basedOn w:val="DefaultParagraphFont"/>
    <w:rsid w:val="006D55D6"/>
  </w:style>
  <w:style w:type="paragraph" w:styleId="ListParagraph">
    <w:name w:val="List Paragraph"/>
    <w:basedOn w:val="Normal"/>
    <w:uiPriority w:val="34"/>
    <w:qFormat/>
    <w:rsid w:val="006D55D6"/>
    <w:pPr>
      <w:ind w:left="720"/>
      <w:contextualSpacing/>
    </w:pPr>
  </w:style>
  <w:style w:type="character" w:styleId="CommentReference">
    <w:name w:val="annotation reference"/>
    <w:basedOn w:val="DefaultParagraphFont"/>
    <w:uiPriority w:val="99"/>
    <w:unhideWhenUsed/>
    <w:rsid w:val="006D55D6"/>
    <w:rPr>
      <w:sz w:val="16"/>
      <w:szCs w:val="16"/>
    </w:rPr>
  </w:style>
  <w:style w:type="paragraph" w:styleId="CommentText">
    <w:name w:val="annotation text"/>
    <w:basedOn w:val="Normal"/>
    <w:link w:val="CommentTextChar"/>
    <w:uiPriority w:val="99"/>
    <w:unhideWhenUsed/>
    <w:rsid w:val="006D55D6"/>
    <w:rPr>
      <w:sz w:val="20"/>
      <w:szCs w:val="20"/>
    </w:rPr>
  </w:style>
  <w:style w:type="character" w:customStyle="1" w:styleId="CommentTextChar">
    <w:name w:val="Comment Text Char"/>
    <w:basedOn w:val="DefaultParagraphFont"/>
    <w:link w:val="CommentText"/>
    <w:uiPriority w:val="99"/>
    <w:rsid w:val="006D55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5D6"/>
    <w:rPr>
      <w:b/>
      <w:bCs/>
    </w:rPr>
  </w:style>
  <w:style w:type="character" w:customStyle="1" w:styleId="CommentSubjectChar">
    <w:name w:val="Comment Subject Char"/>
    <w:basedOn w:val="CommentTextChar"/>
    <w:link w:val="CommentSubject"/>
    <w:uiPriority w:val="99"/>
    <w:semiHidden/>
    <w:rsid w:val="006D55D6"/>
    <w:rPr>
      <w:rFonts w:ascii="Times New Roman" w:eastAsia="Times New Roman" w:hAnsi="Times New Roman" w:cs="Times New Roman"/>
      <w:b/>
      <w:bCs/>
      <w:sz w:val="20"/>
      <w:szCs w:val="20"/>
    </w:rPr>
  </w:style>
  <w:style w:type="character" w:styleId="Strong">
    <w:name w:val="Strong"/>
    <w:basedOn w:val="DefaultParagraphFont"/>
    <w:qFormat/>
    <w:rsid w:val="00A9475E"/>
    <w:rPr>
      <w:b/>
      <w:bCs/>
    </w:rPr>
  </w:style>
  <w:style w:type="table" w:styleId="TableColumns3">
    <w:name w:val="Table Columns 3"/>
    <w:basedOn w:val="TableNormal"/>
    <w:rsid w:val="00D74A66"/>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C361D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6515"/>
    <w:rPr>
      <w:color w:val="0000FF" w:themeColor="hyperlink"/>
      <w:u w:val="single"/>
    </w:rPr>
  </w:style>
  <w:style w:type="table" w:styleId="TableGrid">
    <w:name w:val="Table Grid"/>
    <w:basedOn w:val="TableNormal"/>
    <w:rsid w:val="00412B5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BodyText"/>
    <w:rsid w:val="00412B56"/>
    <w:pPr>
      <w:tabs>
        <w:tab w:val="left" w:pos="792"/>
      </w:tabs>
      <w:spacing w:before="60"/>
      <w:ind w:right="346"/>
      <w:jc w:val="center"/>
    </w:pPr>
    <w:rPr>
      <w:rFonts w:ascii="Arial Narrow" w:hAnsi="Arial Narrow" w:cs="Arial"/>
      <w:b/>
      <w:color w:val="FFFFFF" w:themeColor="background1"/>
      <w:sz w:val="28"/>
      <w:szCs w:val="28"/>
    </w:rPr>
  </w:style>
  <w:style w:type="paragraph" w:customStyle="1" w:styleId="te">
    <w:name w:val="te"/>
    <w:basedOn w:val="Normal"/>
    <w:qFormat/>
    <w:rsid w:val="00412B56"/>
    <w:rPr>
      <w:rFonts w:ascii="Arial Narrow" w:hAnsi="Arial Narrow" w:cs="Arial"/>
      <w:sz w:val="20"/>
      <w:szCs w:val="20"/>
    </w:rPr>
  </w:style>
  <w:style w:type="paragraph" w:styleId="BodyText">
    <w:name w:val="Body Text"/>
    <w:basedOn w:val="Normal"/>
    <w:link w:val="BodyTextChar"/>
    <w:uiPriority w:val="99"/>
    <w:semiHidden/>
    <w:unhideWhenUsed/>
    <w:rsid w:val="00412B56"/>
    <w:pPr>
      <w:spacing w:after="120"/>
    </w:pPr>
  </w:style>
  <w:style w:type="character" w:customStyle="1" w:styleId="BodyTextChar">
    <w:name w:val="Body Text Char"/>
    <w:basedOn w:val="DefaultParagraphFont"/>
    <w:link w:val="BodyText"/>
    <w:uiPriority w:val="99"/>
    <w:semiHidden/>
    <w:rsid w:val="00412B56"/>
    <w:rPr>
      <w:rFonts w:ascii="Times New Roman" w:eastAsia="Times New Roman" w:hAnsi="Times New Roman" w:cs="Times New Roman"/>
      <w:sz w:val="24"/>
      <w:szCs w:val="24"/>
    </w:rPr>
  </w:style>
  <w:style w:type="paragraph" w:styleId="Caption">
    <w:name w:val="caption"/>
    <w:basedOn w:val="Normal"/>
    <w:next w:val="Normal"/>
    <w:unhideWhenUsed/>
    <w:qFormat/>
    <w:rsid w:val="00412B56"/>
    <w:rPr>
      <w:b/>
      <w:bCs/>
      <w:color w:val="4F81BD" w:themeColor="accen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97571">
      <w:bodyDiv w:val="1"/>
      <w:marLeft w:val="0"/>
      <w:marRight w:val="0"/>
      <w:marTop w:val="0"/>
      <w:marBottom w:val="0"/>
      <w:divBdr>
        <w:top w:val="none" w:sz="0" w:space="0" w:color="auto"/>
        <w:left w:val="none" w:sz="0" w:space="0" w:color="auto"/>
        <w:bottom w:val="none" w:sz="0" w:space="0" w:color="auto"/>
        <w:right w:val="none" w:sz="0" w:space="0" w:color="auto"/>
      </w:divBdr>
    </w:div>
    <w:div w:id="1636136080">
      <w:bodyDiv w:val="1"/>
      <w:marLeft w:val="0"/>
      <w:marRight w:val="0"/>
      <w:marTop w:val="0"/>
      <w:marBottom w:val="0"/>
      <w:divBdr>
        <w:top w:val="none" w:sz="0" w:space="0" w:color="auto"/>
        <w:left w:val="none" w:sz="0" w:space="0" w:color="auto"/>
        <w:bottom w:val="none" w:sz="0" w:space="0" w:color="auto"/>
        <w:right w:val="none" w:sz="0" w:space="0" w:color="auto"/>
      </w:divBdr>
    </w:div>
    <w:div w:id="19394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ucm51869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mmwr/volumes/65/rr/pdfs/rr6501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4875-FAFC-461B-B20A-A095B97D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McNelis, Kelly CTR (VOLPE)</dc:creator>
  <cp:lastModifiedBy>Shaffer, Cynthia (VOLPE)</cp:lastModifiedBy>
  <cp:revision>2</cp:revision>
  <cp:lastPrinted>2017-09-25T21:39:00Z</cp:lastPrinted>
  <dcterms:created xsi:type="dcterms:W3CDTF">2017-12-04T20:15:00Z</dcterms:created>
  <dcterms:modified xsi:type="dcterms:W3CDTF">2017-12-04T20:15:00Z</dcterms:modified>
</cp:coreProperties>
</file>