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Default="00757754" w:rsidP="00E33FE8">
      <w:pPr>
        <w:jc w:val="center"/>
        <w:rPr>
          <w:b/>
          <w:sz w:val="32"/>
          <w:szCs w:val="32"/>
        </w:rPr>
      </w:pPr>
      <w:bookmarkStart w:id="0" w:name="_GoBack"/>
      <w:bookmarkEnd w:id="0"/>
      <w:r>
        <w:rPr>
          <w:b/>
          <w:sz w:val="32"/>
          <w:szCs w:val="32"/>
        </w:rPr>
        <w:t>Motor Carrier Safety Advisory Committee (MCSAC)</w:t>
      </w:r>
    </w:p>
    <w:p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B12448">
        <w:rPr>
          <w:b/>
          <w:sz w:val="32"/>
          <w:szCs w:val="32"/>
        </w:rPr>
        <w:t>12</w:t>
      </w:r>
      <w:r w:rsidR="00757754">
        <w:rPr>
          <w:b/>
          <w:sz w:val="32"/>
          <w:szCs w:val="32"/>
        </w:rPr>
        <w:t>-</w:t>
      </w:r>
      <w:r w:rsidR="00B12448">
        <w:rPr>
          <w:b/>
          <w:sz w:val="32"/>
          <w:szCs w:val="32"/>
        </w:rPr>
        <w:t>01</w:t>
      </w:r>
    </w:p>
    <w:p w:rsidR="00184842" w:rsidRDefault="00184842" w:rsidP="00E33FE8">
      <w:pPr>
        <w:jc w:val="center"/>
        <w:rPr>
          <w:b/>
          <w:sz w:val="32"/>
          <w:szCs w:val="32"/>
        </w:rPr>
      </w:pPr>
    </w:p>
    <w:p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rsidR="00FF1FD8" w:rsidRDefault="00FF1FD8" w:rsidP="00BB5633"/>
    <w:p w:rsidR="009424F7" w:rsidRDefault="00811ED1" w:rsidP="00E33FE8">
      <w:r>
        <w:t>Measures to Ensure Electronic On-Board Recorders (EOBRs) Are Not Used to Harass Commercial Motor Vehicle</w:t>
      </w:r>
      <w:r w:rsidR="00D94EA4">
        <w:t xml:space="preserve"> (CMV)</w:t>
      </w:r>
      <w:r>
        <w:t xml:space="preserve"> Operators</w:t>
      </w:r>
    </w:p>
    <w:p w:rsidR="00E33FE8" w:rsidRPr="00BB5633" w:rsidRDefault="00811ED1" w:rsidP="00E33FE8">
      <w:r>
        <w:t xml:space="preserve"> </w:t>
      </w:r>
    </w:p>
    <w:p w:rsidR="00E33FE8" w:rsidRPr="00BB5633" w:rsidRDefault="00BB5633" w:rsidP="00E33FE8">
      <w:pPr>
        <w:rPr>
          <w:b/>
        </w:rPr>
      </w:pPr>
      <w:r>
        <w:rPr>
          <w:b/>
        </w:rPr>
        <w:t xml:space="preserve">II. </w:t>
      </w:r>
      <w:r w:rsidR="00E33FE8" w:rsidRPr="00BB5633">
        <w:rPr>
          <w:b/>
          <w:u w:val="single"/>
        </w:rPr>
        <w:t>Background</w:t>
      </w:r>
    </w:p>
    <w:p w:rsidR="00FF1FD8" w:rsidRDefault="00FF1FD8" w:rsidP="00E33FE8"/>
    <w:p w:rsidR="000C30C0" w:rsidRDefault="00B12448" w:rsidP="00B12448">
      <w:pPr>
        <w:rPr>
          <w:color w:val="000000"/>
        </w:rPr>
      </w:pPr>
      <w:r w:rsidRPr="0041734C">
        <w:rPr>
          <w:color w:val="000000"/>
        </w:rPr>
        <w:t xml:space="preserve">On April 5, 2010, the Agency issued a final rule that provided new technical requirements for </w:t>
      </w:r>
      <w:r w:rsidR="000C30C0">
        <w:rPr>
          <w:color w:val="000000"/>
        </w:rPr>
        <w:t>EOBRs</w:t>
      </w:r>
      <w:r w:rsidRPr="0041734C">
        <w:rPr>
          <w:color w:val="000000"/>
        </w:rPr>
        <w:t>.</w:t>
      </w:r>
      <w:r w:rsidR="00017FA7">
        <w:rPr>
          <w:color w:val="000000"/>
        </w:rPr>
        <w:t xml:space="preserve"> (75 FR 17208, as amended by 75 FR 55488 (Sept. 13, 2010). </w:t>
      </w:r>
      <w:r w:rsidRPr="0041734C">
        <w:rPr>
          <w:color w:val="000000"/>
        </w:rPr>
        <w:t xml:space="preserve"> The final rule also required the limited, remedial use of EOBRs for motor carriers with significant </w:t>
      </w:r>
      <w:r w:rsidR="00D24F0C">
        <w:rPr>
          <w:color w:val="000000"/>
        </w:rPr>
        <w:t>hours-of-service (</w:t>
      </w:r>
      <w:r w:rsidRPr="0041734C">
        <w:rPr>
          <w:color w:val="000000"/>
        </w:rPr>
        <w:t>HOS</w:t>
      </w:r>
      <w:r w:rsidR="00D24F0C">
        <w:rPr>
          <w:color w:val="000000"/>
        </w:rPr>
        <w:t>)</w:t>
      </w:r>
      <w:r w:rsidRPr="0041734C">
        <w:rPr>
          <w:color w:val="000000"/>
        </w:rPr>
        <w:t xml:space="preserve"> violations. The EOBR final rule required a motor carrier found to have a 10 percent violation rate for any HOS regulation listed in Appendix C of 49 CFR part 385 during a single compliance review to install and use EOBRs on all of its CMVs for a period of 2 years. The compliance date for the rule was June 4, 2012.</w:t>
      </w:r>
    </w:p>
    <w:p w:rsidR="00B12448" w:rsidRPr="0041734C" w:rsidRDefault="00B12448" w:rsidP="00B12448">
      <w:pPr>
        <w:rPr>
          <w:color w:val="000000"/>
        </w:rPr>
      </w:pPr>
      <w:r w:rsidRPr="0041734C">
        <w:rPr>
          <w:color w:val="000000"/>
        </w:rPr>
        <w:t xml:space="preserve"> </w:t>
      </w:r>
    </w:p>
    <w:p w:rsidR="000941F3" w:rsidRDefault="00B12448" w:rsidP="00B12448">
      <w:r w:rsidRPr="0041734C">
        <w:rPr>
          <w:iCs/>
        </w:rPr>
        <w:t>The Owner-Operator Independent Drivers Association (OOIDA) challenged the EOBR</w:t>
      </w:r>
      <w:r w:rsidR="007E5A7F">
        <w:rPr>
          <w:iCs/>
        </w:rPr>
        <w:t xml:space="preserve"> </w:t>
      </w:r>
      <w:r w:rsidRPr="0041734C">
        <w:rPr>
          <w:iCs/>
        </w:rPr>
        <w:t>final rule in the United States Court of Appeals for the Seventh Circuit. OOIDA</w:t>
      </w:r>
      <w:r w:rsidRPr="0041734C">
        <w:t xml:space="preserve"> raised several concerns relating to EOBRs and their potential for </w:t>
      </w:r>
      <w:r w:rsidR="00017FA7">
        <w:t xml:space="preserve">the </w:t>
      </w:r>
      <w:r w:rsidRPr="0041734C">
        <w:t>harassment</w:t>
      </w:r>
      <w:r w:rsidR="00017FA7">
        <w:t xml:space="preserve"> of drivers</w:t>
      </w:r>
      <w:r w:rsidRPr="0041734C">
        <w:t>.</w:t>
      </w:r>
    </w:p>
    <w:p w:rsidR="00B12448" w:rsidRDefault="000C30C0" w:rsidP="00B12448">
      <w:r w:rsidRPr="00655F1D" w:rsidDel="000C30C0">
        <w:t xml:space="preserve"> </w:t>
      </w:r>
    </w:p>
    <w:p w:rsidR="00B12448" w:rsidRDefault="00B12448" w:rsidP="00B12448">
      <w:r w:rsidRPr="0041734C">
        <w:rPr>
          <w:color w:val="000000"/>
        </w:rPr>
        <w:t xml:space="preserve">On August 26, 2011, the </w:t>
      </w:r>
      <w:r w:rsidR="00D6360C">
        <w:rPr>
          <w:color w:val="000000"/>
        </w:rPr>
        <w:t>Court</w:t>
      </w:r>
      <w:r w:rsidRPr="0041734C">
        <w:rPr>
          <w:color w:val="000000"/>
        </w:rPr>
        <w:t xml:space="preserve"> vacated the</w:t>
      </w:r>
      <w:r>
        <w:rPr>
          <w:color w:val="000000"/>
        </w:rPr>
        <w:t xml:space="preserve"> entire</w:t>
      </w:r>
      <w:r w:rsidRPr="0041734C">
        <w:rPr>
          <w:color w:val="000000"/>
        </w:rPr>
        <w:t xml:space="preserve"> EOBR</w:t>
      </w:r>
      <w:r w:rsidR="00CE2AFE">
        <w:rPr>
          <w:color w:val="000000"/>
        </w:rPr>
        <w:t xml:space="preserve"> </w:t>
      </w:r>
      <w:r w:rsidRPr="0041734C">
        <w:rPr>
          <w:color w:val="000000"/>
        </w:rPr>
        <w:t>final rule.</w:t>
      </w:r>
      <w:r>
        <w:rPr>
          <w:color w:val="000000"/>
        </w:rPr>
        <w:t xml:space="preserve"> </w:t>
      </w:r>
      <w:r w:rsidRPr="0041734C">
        <w:t xml:space="preserve"> </w:t>
      </w:r>
      <w:r w:rsidR="00D6360C">
        <w:rPr>
          <w:u w:val="single"/>
        </w:rPr>
        <w:t>Owner-Operator Indep. Drivers Ass’n v. Fed. Motor Carrier Safety Admin.</w:t>
      </w:r>
      <w:r w:rsidR="00D6360C">
        <w:t>, 656 F.3d 580 (7</w:t>
      </w:r>
      <w:r w:rsidR="00D24890" w:rsidRPr="00D24890">
        <w:rPr>
          <w:vertAlign w:val="superscript"/>
        </w:rPr>
        <w:t>th</w:t>
      </w:r>
      <w:r w:rsidR="00D6360C">
        <w:t xml:space="preserve"> Cir. 2011). </w:t>
      </w:r>
      <w:r>
        <w:rPr>
          <w:color w:val="000000"/>
        </w:rPr>
        <w:t xml:space="preserve">The </w:t>
      </w:r>
      <w:r w:rsidR="00D6360C">
        <w:rPr>
          <w:color w:val="000000"/>
        </w:rPr>
        <w:t>Court held</w:t>
      </w:r>
      <w:r w:rsidRPr="00E1234E">
        <w:t xml:space="preserve"> that</w:t>
      </w:r>
      <w:r w:rsidR="00017FA7">
        <w:t>,</w:t>
      </w:r>
      <w:r w:rsidRPr="00E1234E">
        <w:t xml:space="preserve"> contrary to </w:t>
      </w:r>
      <w:r w:rsidR="00017FA7">
        <w:t xml:space="preserve">a </w:t>
      </w:r>
      <w:r w:rsidRPr="00E1234E">
        <w:t>statutory requirement, the Agency failed to</w:t>
      </w:r>
      <w:r w:rsidR="00A85A49">
        <w:t xml:space="preserve"> </w:t>
      </w:r>
      <w:r w:rsidRPr="00E1234E">
        <w:t>address the issue of driver harassment, including how EOBRs could potentially be used to harass drivers and ways to ensure that EOBRs were not used</w:t>
      </w:r>
      <w:r w:rsidR="000A336C">
        <w:t xml:space="preserve"> </w:t>
      </w:r>
      <w:r w:rsidR="00017FA7">
        <w:t>for this purpose</w:t>
      </w:r>
      <w:r w:rsidRPr="00E1234E">
        <w:t>. The Court</w:t>
      </w:r>
      <w:r w:rsidR="00017FA7">
        <w:t xml:space="preserve"> focused on</w:t>
      </w:r>
      <w:r w:rsidRPr="00E1234E">
        <w:t xml:space="preserve"> 49 U.S.C. § 31137(a)</w:t>
      </w:r>
      <w:r w:rsidR="007E5A7F">
        <w:t>,</w:t>
      </w:r>
      <w:r w:rsidRPr="00E1234E">
        <w:t xml:space="preserve"> which reads as follows:</w:t>
      </w:r>
      <w:r w:rsidRPr="005E0700">
        <w:t xml:space="preserve">  </w:t>
      </w:r>
    </w:p>
    <w:p w:rsidR="00B12448" w:rsidRPr="005E0700" w:rsidRDefault="00B12448" w:rsidP="00B12448">
      <w:pPr>
        <w:pStyle w:val="FMCSAText1"/>
        <w:spacing w:after="0"/>
      </w:pPr>
    </w:p>
    <w:p w:rsidR="00B12448" w:rsidRPr="00D24F0C" w:rsidRDefault="00B12448" w:rsidP="00B12448">
      <w:pPr>
        <w:pStyle w:val="FMCSAText1"/>
        <w:spacing w:after="0"/>
        <w:ind w:left="720" w:right="720"/>
        <w:jc w:val="both"/>
      </w:pPr>
      <w:r w:rsidRPr="005E0700">
        <w:t xml:space="preserve">USE OF MONITORING DEVICES.  If the Secretary of Transportation prescribes a regulation about the use of monitoring devices on commercial motor vehicles to increase compliance by operators of the vehicles with hours of service regulations of the Secretary, </w:t>
      </w:r>
      <w:r w:rsidRPr="0015490D">
        <w:rPr>
          <w:i/>
        </w:rPr>
        <w:t>the regulation shall ensure that the devices are not used to harass vehicle operators.  However, the devices may be used to monitor productivity of the operators</w:t>
      </w:r>
      <w:r w:rsidRPr="00D24F0C">
        <w:t xml:space="preserve"> </w:t>
      </w:r>
      <w:r w:rsidR="00767013">
        <w:t>(emphasis added).</w:t>
      </w:r>
    </w:p>
    <w:p w:rsidR="00B12448" w:rsidRPr="00D24F0C" w:rsidRDefault="00B12448" w:rsidP="00B12448">
      <w:pPr>
        <w:pStyle w:val="FMCSAText1"/>
        <w:spacing w:after="0"/>
      </w:pPr>
    </w:p>
    <w:p w:rsidR="00B12448" w:rsidRDefault="00B12448" w:rsidP="00B12448">
      <w:pPr>
        <w:pStyle w:val="FMCSAText1"/>
        <w:spacing w:after="0"/>
      </w:pPr>
      <w:r>
        <w:t xml:space="preserve">The </w:t>
      </w:r>
      <w:r w:rsidR="007E5A7F">
        <w:t xml:space="preserve">Court </w:t>
      </w:r>
      <w:r>
        <w:t xml:space="preserve">stated </w:t>
      </w:r>
      <w:r w:rsidR="00017FA7">
        <w:t xml:space="preserve">that the Agency ought to amplify what is meant by “harassment” and “productivity” and suggested </w:t>
      </w:r>
      <w:r>
        <w:t xml:space="preserve">how the Agency </w:t>
      </w:r>
      <w:r w:rsidR="00811ED1">
        <w:t xml:space="preserve">could </w:t>
      </w:r>
      <w:r>
        <w:t>address</w:t>
      </w:r>
      <w:r w:rsidR="00767013">
        <w:t xml:space="preserve"> </w:t>
      </w:r>
      <w:r w:rsidR="00017FA7">
        <w:t>these issues</w:t>
      </w:r>
      <w:r>
        <w:t>:</w:t>
      </w:r>
    </w:p>
    <w:p w:rsidR="00B12448" w:rsidRDefault="00B12448" w:rsidP="00B12448">
      <w:pPr>
        <w:pStyle w:val="FMCSAText1"/>
        <w:spacing w:after="0"/>
      </w:pPr>
    </w:p>
    <w:p w:rsidR="00767013" w:rsidRDefault="00B12448" w:rsidP="00767013">
      <w:pPr>
        <w:pStyle w:val="FMCSAText1"/>
        <w:widowControl w:val="0"/>
        <w:spacing w:after="0"/>
      </w:pPr>
      <w:r>
        <w:t>“</w:t>
      </w:r>
      <w:r w:rsidR="00017FA7">
        <w:t>[A]</w:t>
      </w:r>
      <w:r>
        <w:t xml:space="preserve">n adequate explanation that addresses the distinction between productivity and harassment must also describe what precisely it is that will prevent harassment from occurring. The Agency needs to consider what types of harassment already exist, how frequently and to what extent harassment happens, and how an electronic device capable </w:t>
      </w:r>
      <w:r>
        <w:lastRenderedPageBreak/>
        <w:t xml:space="preserve">of contemporaneous transmission of information to a motor carrier will guard against (or fail to guard against) harassment. A study of these problems with EOBRs already in use, and a comparison with carriers that do not use these devices, might be one </w:t>
      </w:r>
      <w:r w:rsidRPr="00C8147F">
        <w:t>obvious way to measure any effect that requiring EOBRs might have on driver harassment</w:t>
      </w:r>
      <w:r w:rsidR="00CE2AFE">
        <w:t>.</w:t>
      </w:r>
      <w:r w:rsidRPr="00C8147F">
        <w:t>”</w:t>
      </w:r>
      <w:r w:rsidR="00767013">
        <w:t xml:space="preserve"> </w:t>
      </w:r>
      <w:r w:rsidR="00CE2AFE">
        <w:t xml:space="preserve"> </w:t>
      </w:r>
      <w:r w:rsidR="00767013">
        <w:t>656 F.3d at 588-89.</w:t>
      </w:r>
    </w:p>
    <w:p w:rsidR="00B12448" w:rsidRDefault="00B12448" w:rsidP="00B12448">
      <w:pPr>
        <w:pStyle w:val="FMCSAText1"/>
        <w:spacing w:after="0"/>
      </w:pPr>
    </w:p>
    <w:p w:rsidR="00B12448" w:rsidRDefault="00114C31" w:rsidP="00B12448">
      <w:pPr>
        <w:pStyle w:val="FMCSAText1"/>
        <w:widowControl w:val="0"/>
        <w:spacing w:after="0"/>
      </w:pPr>
      <w:r>
        <w:t xml:space="preserve">In the October </w:t>
      </w:r>
      <w:r w:rsidR="000941F3">
        <w:t>7</w:t>
      </w:r>
      <w:r>
        <w:t xml:space="preserve">, 2011, </w:t>
      </w:r>
      <w:r w:rsidRPr="00114C31">
        <w:rPr>
          <w:u w:val="single"/>
        </w:rPr>
        <w:t>Federal</w:t>
      </w:r>
      <w:r w:rsidR="00CE2AFE">
        <w:t xml:space="preserve"> </w:t>
      </w:r>
      <w:r w:rsidRPr="00114C31">
        <w:rPr>
          <w:u w:val="single"/>
        </w:rPr>
        <w:t>Register</w:t>
      </w:r>
      <w:r>
        <w:t xml:space="preserve"> notice announcing the subcommittee meetings of the MCSAC Subcommittee on EOBR Technical Specifications, </w:t>
      </w:r>
      <w:r w:rsidR="000C30C0">
        <w:t xml:space="preserve">the Agency </w:t>
      </w:r>
      <w:r>
        <w:t xml:space="preserve">announced that it would </w:t>
      </w:r>
      <w:r w:rsidR="000C30C0">
        <w:t>not appeal the Court’s ruling</w:t>
      </w:r>
      <w:r>
        <w:t xml:space="preserve"> and would issue a final rule at a later date to remove all regulatory text </w:t>
      </w:r>
      <w:r w:rsidR="001F7C78">
        <w:t xml:space="preserve">from </w:t>
      </w:r>
      <w:r>
        <w:t>the Code of Federal Regulations</w:t>
      </w:r>
      <w:r w:rsidR="001F7C78">
        <w:t xml:space="preserve"> related to the vacated April 5, 2010, final rule</w:t>
      </w:r>
      <w:r w:rsidR="00D24F0C">
        <w:t xml:space="preserve"> (76 FR 62496)</w:t>
      </w:r>
      <w:r w:rsidR="000C30C0">
        <w:t>.</w:t>
      </w:r>
      <w:r w:rsidR="001F7C78">
        <w:t xml:space="preserve">  </w:t>
      </w:r>
    </w:p>
    <w:p w:rsidR="003A471C" w:rsidRDefault="003A471C" w:rsidP="00B12448">
      <w:pPr>
        <w:pStyle w:val="FMCSAText1"/>
        <w:widowControl w:val="0"/>
        <w:spacing w:after="0"/>
      </w:pPr>
    </w:p>
    <w:p w:rsidR="003A471C" w:rsidRDefault="003A471C" w:rsidP="003A471C">
      <w:pPr>
        <w:pStyle w:val="FMCSAText1"/>
        <w:widowControl w:val="0"/>
        <w:spacing w:after="0"/>
      </w:pPr>
      <w:r w:rsidRPr="00A44650">
        <w:t xml:space="preserve">As a result of the </w:t>
      </w:r>
      <w:r>
        <w:t>decision</w:t>
      </w:r>
      <w:r w:rsidRPr="00A44650">
        <w:t>, carriers relying on electronic devices to monitor HOS compliance are currently governed by the rules addressing the use of automatic on-board recording devices</w:t>
      </w:r>
      <w:r>
        <w:t xml:space="preserve"> as in effect immediately before the court’s ruling (49 CFR 395.15)</w:t>
      </w:r>
      <w:r w:rsidRPr="00A44650">
        <w:t>,</w:t>
      </w:r>
      <w:r>
        <w:t xml:space="preserve"> </w:t>
      </w:r>
      <w:r w:rsidR="0072644B">
        <w:t xml:space="preserve"> provisions </w:t>
      </w:r>
      <w:r w:rsidRPr="00A44650">
        <w:t>not affected by the Seventh Circuit’s decision.</w:t>
      </w:r>
      <w:r>
        <w:t xml:space="preserve">  </w:t>
      </w:r>
    </w:p>
    <w:p w:rsidR="00B12448" w:rsidRDefault="00B12448" w:rsidP="00B12448"/>
    <w:p w:rsidR="00E33FE8" w:rsidRPr="00BB5633" w:rsidRDefault="00BB5633" w:rsidP="00E33FE8">
      <w:r>
        <w:rPr>
          <w:b/>
        </w:rPr>
        <w:t>III.</w:t>
      </w:r>
      <w:r w:rsidR="00AC738A">
        <w:rPr>
          <w:b/>
        </w:rPr>
        <w:t xml:space="preserve"> </w:t>
      </w:r>
      <w:r w:rsidR="00E33FE8" w:rsidRPr="00BB5633">
        <w:rPr>
          <w:b/>
          <w:u w:val="single"/>
        </w:rPr>
        <w:t>Task</w:t>
      </w:r>
    </w:p>
    <w:p w:rsidR="00FF1FD8" w:rsidRDefault="00FF1FD8" w:rsidP="00E33FE8"/>
    <w:p w:rsidR="00D4613A" w:rsidRDefault="00E33FE8">
      <w:r w:rsidRPr="00BB5633">
        <w:t xml:space="preserve">The Committee </w:t>
      </w:r>
      <w:r w:rsidR="00F80390" w:rsidRPr="00BB5633">
        <w:t xml:space="preserve">will </w:t>
      </w:r>
      <w:r w:rsidRPr="00BB5633">
        <w:t>provide a le</w:t>
      </w:r>
      <w:r w:rsidR="00757754">
        <w:t xml:space="preserve">tter report to the Agency </w:t>
      </w:r>
      <w:r w:rsidR="00756EAA">
        <w:t xml:space="preserve">presenting </w:t>
      </w:r>
      <w:r w:rsidR="00757754">
        <w:t>ideas</w:t>
      </w:r>
      <w:r w:rsidR="00EA478E">
        <w:t>, concepts</w:t>
      </w:r>
      <w:r w:rsidR="00FB4D46">
        <w:t>,</w:t>
      </w:r>
      <w:r w:rsidR="00757754">
        <w:t xml:space="preserve"> and information the Agency </w:t>
      </w:r>
      <w:r w:rsidR="00756EAA">
        <w:t xml:space="preserve">should explore as it considers </w:t>
      </w:r>
      <w:r w:rsidR="006F69D8">
        <w:t>w</w:t>
      </w:r>
      <w:r w:rsidR="00B12448">
        <w:t xml:space="preserve">ays to </w:t>
      </w:r>
      <w:r w:rsidR="00FA0B7F">
        <w:t>fulfill the statutory requirements of 49 U.S.C. 31137(a) in any future rulemaking concerning EOBRs.</w:t>
      </w:r>
      <w:r w:rsidR="00231E1B">
        <w:t xml:space="preserve"> </w:t>
      </w:r>
    </w:p>
    <w:p w:rsidR="009E1474" w:rsidRDefault="00EA478E" w:rsidP="009E1474">
      <w:r>
        <w:t xml:space="preserve"> </w:t>
      </w:r>
    </w:p>
    <w:p w:rsidR="00FA0B7F" w:rsidRDefault="009E1474" w:rsidP="009E1474">
      <w:r>
        <w:t>In its deliberations, t</w:t>
      </w:r>
      <w:r w:rsidR="008D0D9A">
        <w:t>he Committee should consider the following questions:</w:t>
      </w:r>
    </w:p>
    <w:p w:rsidR="008D0D9A" w:rsidRDefault="008D0D9A" w:rsidP="00E33FE8"/>
    <w:p w:rsidR="001462EE" w:rsidRDefault="00385002">
      <w:pPr>
        <w:pStyle w:val="ListParagraph"/>
        <w:numPr>
          <w:ilvl w:val="0"/>
          <w:numId w:val="19"/>
        </w:numPr>
      </w:pPr>
      <w:r>
        <w:t>In terms of motor carriers’ and enforcement officials’ monitoring or review of drivers</w:t>
      </w:r>
      <w:r w:rsidR="00685000">
        <w:t>’</w:t>
      </w:r>
      <w:r>
        <w:t xml:space="preserve"> records of duty status (RODS), </w:t>
      </w:r>
      <w:r w:rsidR="0085496F">
        <w:t>what would</w:t>
      </w:r>
      <w:r w:rsidR="001462EE">
        <w:t xml:space="preserve"> constitute driver harassment?  Would that definition change based on whether the system for recording HOS is paper or electronically based?  If so, how?</w:t>
      </w:r>
      <w:r w:rsidR="00372A16">
        <w:t xml:space="preserve"> </w:t>
      </w:r>
      <w:r w:rsidR="00BF6EC7">
        <w:t xml:space="preserve"> </w:t>
      </w:r>
      <w:r w:rsidR="00395F21">
        <w:t>As a starting point, t</w:t>
      </w:r>
      <w:r w:rsidR="00372A16">
        <w:t>he Agency is interested in potential forms of harassment</w:t>
      </w:r>
      <w:r w:rsidR="009D2054">
        <w:t xml:space="preserve">, including but not limited to those </w:t>
      </w:r>
      <w:r w:rsidR="00372A16">
        <w:t>that are (1) not prohibited already by current</w:t>
      </w:r>
      <w:r w:rsidR="00685000">
        <w:t xml:space="preserve"> statutes and </w:t>
      </w:r>
      <w:r w:rsidR="00372A16">
        <w:t>regulations</w:t>
      </w:r>
      <w:r w:rsidR="0085496F">
        <w:t>; (</w:t>
      </w:r>
      <w:r w:rsidR="00685000">
        <w:t>2</w:t>
      </w:r>
      <w:r w:rsidR="00372A16">
        <w:t>) distinct from monitoring for legitimate business purposes</w:t>
      </w:r>
      <w:r w:rsidR="00685000">
        <w:t xml:space="preserve"> (e.g., efforts to maintain or improve productivity)</w:t>
      </w:r>
      <w:r w:rsidR="00372A16">
        <w:t>; and (</w:t>
      </w:r>
      <w:r w:rsidR="00685000">
        <w:t>3</w:t>
      </w:r>
      <w:r w:rsidR="00372A16">
        <w:t xml:space="preserve">) facilitated or made possible </w:t>
      </w:r>
      <w:r w:rsidR="00BF6EC7">
        <w:t xml:space="preserve">solely </w:t>
      </w:r>
      <w:r w:rsidR="00372A16">
        <w:t xml:space="preserve">by EOBR devices and not as a result of </w:t>
      </w:r>
      <w:r w:rsidR="00685000">
        <w:t xml:space="preserve">functions </w:t>
      </w:r>
      <w:r w:rsidR="0085496F">
        <w:t>or features</w:t>
      </w:r>
      <w:r w:rsidR="00372A16">
        <w:t xml:space="preserve"> that motor carriers may choose to purchase</w:t>
      </w:r>
      <w:r w:rsidR="00685000">
        <w:t>, such as fleet management system capabilities</w:t>
      </w:r>
      <w:r w:rsidR="00372A16">
        <w:t>. </w:t>
      </w:r>
      <w:r w:rsidR="00395F21">
        <w:t xml:space="preserve">  Is this interpretation appropriate?   Should it be broader?  </w:t>
      </w:r>
      <w:r w:rsidR="00767013">
        <w:t>Or narrower</w:t>
      </w:r>
      <w:r w:rsidR="00395F21">
        <w:t xml:space="preserve">? </w:t>
      </w:r>
    </w:p>
    <w:p w:rsidR="007E5A7F" w:rsidRDefault="001462EE" w:rsidP="00E63772">
      <w:pPr>
        <w:pStyle w:val="ListParagraph"/>
      </w:pPr>
      <w:r>
        <w:t xml:space="preserve">  </w:t>
      </w:r>
    </w:p>
    <w:p w:rsidR="007E5A7F" w:rsidRDefault="001462EE">
      <w:pPr>
        <w:pStyle w:val="ListParagraph"/>
        <w:numPr>
          <w:ilvl w:val="0"/>
          <w:numId w:val="19"/>
        </w:numPr>
      </w:pPr>
      <w:r>
        <w:t xml:space="preserve">Are there types of driver harassment </w:t>
      </w:r>
      <w:r w:rsidR="009D2054">
        <w:t xml:space="preserve">to which </w:t>
      </w:r>
      <w:r>
        <w:t xml:space="preserve">drivers </w:t>
      </w:r>
      <w:r w:rsidR="00BF6EC7">
        <w:t xml:space="preserve">are </w:t>
      </w:r>
      <w:r>
        <w:t>uniquely vulnerable</w:t>
      </w:r>
      <w:r w:rsidR="00BF6EC7">
        <w:t xml:space="preserve"> </w:t>
      </w:r>
      <w:r>
        <w:t xml:space="preserve">if they are using EOBRs rather than paper logs?  </w:t>
      </w:r>
      <w:r w:rsidR="00BF6EC7">
        <w:t>If so, what and h</w:t>
      </w:r>
      <w:r>
        <w:t>ow would use of an EOBR rather than a paper log make a driver more susceptible to harassment?</w:t>
      </w:r>
      <w:r w:rsidR="00BF6EC7">
        <w:t xml:space="preserve">  Are there ways in which the use of an EOBR rather than a paper log makes a driver less susceptible to harassment? </w:t>
      </w:r>
    </w:p>
    <w:p w:rsidR="007E5A7F" w:rsidRDefault="007E5A7F" w:rsidP="001462EE">
      <w:pPr>
        <w:pStyle w:val="ListParagraph"/>
      </w:pPr>
    </w:p>
    <w:p w:rsidR="009D2054" w:rsidRDefault="009D2054">
      <w:pPr>
        <w:pStyle w:val="ListParagraph"/>
        <w:numPr>
          <w:ilvl w:val="0"/>
          <w:numId w:val="19"/>
        </w:numPr>
      </w:pPr>
      <w:r>
        <w:t xml:space="preserve">What types of harassment are motor carrier drivers subjected to currently, how frequently, and to what extent does this harassment happen?  How would an electronic device capable of contemporaneous transmission of information to a </w:t>
      </w:r>
      <w:r>
        <w:lastRenderedPageBreak/>
        <w:t>motor carrier guard against (or fail to guard against) this kind of harassment?  What experience have motor carriers and drivers had with carriers using EOBRs as compared to those who do not use these devices in terms of their effect on driver harassment or complaints of driver harassment?</w:t>
      </w:r>
    </w:p>
    <w:p w:rsidR="008D0D9A" w:rsidRDefault="008D0D9A" w:rsidP="00E33FE8"/>
    <w:p w:rsidR="00B56237" w:rsidRDefault="00231E1B">
      <w:pPr>
        <w:pStyle w:val="ListParagraph"/>
        <w:numPr>
          <w:ilvl w:val="0"/>
          <w:numId w:val="19"/>
        </w:numPr>
      </w:pPr>
      <w:r>
        <w:t xml:space="preserve">What measures do you think the Agency should consider taking to eliminate the potential for EOBRs to be used to harass drivers? </w:t>
      </w:r>
      <w:r w:rsidR="00A755F1">
        <w:t xml:space="preserve">Are there specific functions and capabilities of an EOBR that should be restricted to reduce the likelihood of the devices being used to harass vehicle operators? </w:t>
      </w:r>
    </w:p>
    <w:p w:rsidR="00A755F1" w:rsidRDefault="00A755F1" w:rsidP="00E33FE8"/>
    <w:p w:rsidR="001462EE" w:rsidRDefault="00A755F1">
      <w:pPr>
        <w:pStyle w:val="ListParagraph"/>
        <w:numPr>
          <w:ilvl w:val="0"/>
          <w:numId w:val="19"/>
        </w:numPr>
      </w:pPr>
      <w:r>
        <w:t xml:space="preserve"> </w:t>
      </w:r>
      <w:r w:rsidR="00CD13D4">
        <w:t xml:space="preserve">Motor </w:t>
      </w:r>
      <w:r w:rsidR="001462EE">
        <w:t xml:space="preserve">carriers </w:t>
      </w:r>
      <w:r w:rsidR="00CD13D4">
        <w:t xml:space="preserve">are </w:t>
      </w:r>
      <w:r w:rsidR="00BF6EC7">
        <w:t xml:space="preserve">often </w:t>
      </w:r>
      <w:r w:rsidR="00CD13D4">
        <w:t xml:space="preserve">responsible for managing their drivers and equipment to optimize efficiency and </w:t>
      </w:r>
      <w:r w:rsidR="001462EE">
        <w:t>productivity</w:t>
      </w:r>
      <w:r w:rsidR="00CD13D4">
        <w:t xml:space="preserve"> and </w:t>
      </w:r>
      <w:r w:rsidR="0085496F">
        <w:t>to ensure</w:t>
      </w:r>
      <w:r w:rsidR="001462EE">
        <w:t xml:space="preserve"> </w:t>
      </w:r>
      <w:r w:rsidR="00CD13D4">
        <w:t xml:space="preserve">transportation </w:t>
      </w:r>
      <w:r w:rsidR="0085496F">
        <w:t>services are</w:t>
      </w:r>
      <w:r w:rsidR="00CD13D4">
        <w:t xml:space="preserve"> provided in accordance with </w:t>
      </w:r>
      <w:r w:rsidR="00BF6EC7">
        <w:t xml:space="preserve">a </w:t>
      </w:r>
      <w:r w:rsidR="000074C4">
        <w:t>planned schedule.</w:t>
      </w:r>
      <w:r w:rsidR="001462EE">
        <w:t xml:space="preserve"> </w:t>
      </w:r>
      <w:r w:rsidR="00BF6EC7">
        <w:t xml:space="preserve"> </w:t>
      </w:r>
      <w:r w:rsidR="000074C4" w:rsidRPr="00A85A49">
        <w:t xml:space="preserve">Carriers </w:t>
      </w:r>
      <w:r w:rsidR="00BF6EC7">
        <w:t xml:space="preserve">commonly use </w:t>
      </w:r>
      <w:r w:rsidR="000074C4" w:rsidRPr="00A85A49">
        <w:t xml:space="preserve">electronic devices, which may include but </w:t>
      </w:r>
      <w:r w:rsidR="00BF6EC7">
        <w:t xml:space="preserve">are </w:t>
      </w:r>
      <w:r w:rsidR="000074C4" w:rsidRPr="00A85A49">
        <w:t>not limited to EOBRs, to enhance productivity</w:t>
      </w:r>
      <w:r w:rsidR="00BF6EC7">
        <w:t xml:space="preserve"> and optimize</w:t>
      </w:r>
      <w:r w:rsidR="00BF6EC7" w:rsidRPr="00A85A49">
        <w:t xml:space="preserve"> </w:t>
      </w:r>
      <w:r w:rsidR="00BF6EC7">
        <w:t>fleet operation.  P</w:t>
      </w:r>
      <w:r w:rsidR="000074C4" w:rsidRPr="00A85A49">
        <w:t>rovided such devices are not used to coerce drivers into violating Federal safety regulations</w:t>
      </w:r>
      <w:r w:rsidR="00BF6EC7">
        <w:t>,</w:t>
      </w:r>
      <w:r w:rsidR="00767013">
        <w:t xml:space="preserve"> </w:t>
      </w:r>
      <w:r w:rsidR="00BF6EC7">
        <w:t>w</w:t>
      </w:r>
      <w:r w:rsidR="00372A16">
        <w:t xml:space="preserve">here is the line between </w:t>
      </w:r>
      <w:r w:rsidR="00CD13D4">
        <w:t xml:space="preserve">legitimate </w:t>
      </w:r>
      <w:r w:rsidR="00BF6EC7">
        <w:t xml:space="preserve">productivity </w:t>
      </w:r>
      <w:r w:rsidR="0085496F">
        <w:t xml:space="preserve">measures </w:t>
      </w:r>
      <w:r w:rsidR="001462EE">
        <w:t xml:space="preserve">and </w:t>
      </w:r>
      <w:r w:rsidR="00372A16">
        <w:t xml:space="preserve">inappropriate </w:t>
      </w:r>
      <w:r w:rsidR="001462EE">
        <w:t xml:space="preserve">oversight or </w:t>
      </w:r>
      <w:r w:rsidR="00BF6EC7">
        <w:t xml:space="preserve">actions </w:t>
      </w:r>
      <w:r w:rsidR="001462EE">
        <w:t>that may be construed as harassment?</w:t>
      </w:r>
    </w:p>
    <w:p w:rsidR="001462EE" w:rsidRDefault="001462EE" w:rsidP="001462EE">
      <w:pPr>
        <w:pStyle w:val="ListParagraph"/>
      </w:pPr>
    </w:p>
    <w:p w:rsidR="00CE2AFE" w:rsidRDefault="00806CD0" w:rsidP="00E33FE8">
      <w:r>
        <w:t xml:space="preserve">In preparing its letter </w:t>
      </w:r>
      <w:r w:rsidR="00B20C3F">
        <w:t xml:space="preserve">report </w:t>
      </w:r>
      <w:r>
        <w:t>to the Agency, the Committee should, wherever possible,</w:t>
      </w:r>
      <w:r w:rsidR="009E1474">
        <w:t xml:space="preserve"> </w:t>
      </w:r>
      <w:r w:rsidR="00757754">
        <w:t xml:space="preserve">indicate whether the ideas or concepts identified are </w:t>
      </w:r>
      <w:r>
        <w:t>support</w:t>
      </w:r>
      <w:r w:rsidR="00757754">
        <w:t>ed</w:t>
      </w:r>
      <w:r>
        <w:t xml:space="preserve"> by peer reviewed studies.  </w:t>
      </w:r>
      <w:r w:rsidR="00641C9C">
        <w:t xml:space="preserve">The </w:t>
      </w:r>
      <w:r w:rsidR="00FA0B7F">
        <w:t>MCSAC</w:t>
      </w:r>
      <w:r w:rsidR="00641C9C">
        <w:t xml:space="preserve"> meetings </w:t>
      </w:r>
      <w:r w:rsidR="009424F7">
        <w:t>are open</w:t>
      </w:r>
      <w:r w:rsidR="00FA0B7F">
        <w:t xml:space="preserve"> to the general </w:t>
      </w:r>
      <w:r w:rsidR="00641C9C">
        <w:t xml:space="preserve">public and the </w:t>
      </w:r>
      <w:r w:rsidR="00FA0B7F">
        <w:t>Committee should consider</w:t>
      </w:r>
      <w:r w:rsidR="00641C9C">
        <w:t xml:space="preserve"> any ideas, information</w:t>
      </w:r>
      <w:r w:rsidR="00B12448">
        <w:t>,</w:t>
      </w:r>
      <w:r w:rsidR="00641C9C">
        <w:t xml:space="preserve"> and concepts </w:t>
      </w:r>
      <w:r w:rsidR="00FA0B7F">
        <w:t xml:space="preserve">identified by individuals making remarks during the </w:t>
      </w:r>
      <w:r w:rsidR="00C06D60">
        <w:t xml:space="preserve">meeting’s </w:t>
      </w:r>
      <w:r w:rsidR="00FA0B7F">
        <w:t>public comment period.</w:t>
      </w:r>
    </w:p>
    <w:p w:rsidR="00CE2AFE" w:rsidRDefault="00CE2AFE" w:rsidP="00E33FE8"/>
    <w:p w:rsidR="00BB5633" w:rsidRDefault="00C91861" w:rsidP="00C91861">
      <w:r w:rsidRPr="00845A8A">
        <w:rPr>
          <w:b/>
        </w:rPr>
        <w:t>IV.</w:t>
      </w:r>
      <w:r w:rsidR="00845A8A">
        <w:rPr>
          <w:b/>
        </w:rPr>
        <w:t xml:space="preserve"> </w:t>
      </w:r>
      <w:r w:rsidR="00BB5633" w:rsidRPr="00BB5633">
        <w:rPr>
          <w:b/>
          <w:u w:val="single"/>
        </w:rPr>
        <w:t>Estimated Time to Complete Task</w:t>
      </w:r>
    </w:p>
    <w:p w:rsidR="00BB5633" w:rsidRDefault="00BB5633" w:rsidP="00BB5633"/>
    <w:p w:rsidR="00111AFD" w:rsidRDefault="00526626" w:rsidP="00BB5633">
      <w:r>
        <w:t>The MCSAC</w:t>
      </w:r>
      <w:r w:rsidR="001E65B4">
        <w:t xml:space="preserve"> </w:t>
      </w:r>
      <w:r w:rsidR="00756EAA">
        <w:t xml:space="preserve">should begin work on this task </w:t>
      </w:r>
      <w:r w:rsidR="00B12448">
        <w:t xml:space="preserve">at its February 2012 </w:t>
      </w:r>
      <w:r w:rsidR="00FE540C">
        <w:t>meeting</w:t>
      </w:r>
      <w:r w:rsidR="00966525">
        <w:t xml:space="preserve"> with the goal of completing its discussions and </w:t>
      </w:r>
      <w:r w:rsidR="00C44F78">
        <w:t xml:space="preserve">issuing a </w:t>
      </w:r>
      <w:r w:rsidR="00966525">
        <w:t xml:space="preserve">letter report </w:t>
      </w:r>
      <w:r>
        <w:t>during</w:t>
      </w:r>
      <w:r w:rsidR="00966525">
        <w:t xml:space="preserve"> </w:t>
      </w:r>
      <w:r>
        <w:t xml:space="preserve">its </w:t>
      </w:r>
      <w:r w:rsidR="00B12448">
        <w:t>June</w:t>
      </w:r>
      <w:r w:rsidR="00824039">
        <w:t xml:space="preserve"> 2012 </w:t>
      </w:r>
      <w:r w:rsidR="00FE540C">
        <w:t xml:space="preserve">meeting.  </w:t>
      </w:r>
    </w:p>
    <w:p w:rsidR="00833B14" w:rsidRDefault="00833B14" w:rsidP="00BB5633">
      <w:pPr>
        <w:rPr>
          <w:b/>
        </w:rPr>
      </w:pPr>
    </w:p>
    <w:p w:rsidR="0097400A"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rsidR="009424F7" w:rsidRPr="00111AFD" w:rsidRDefault="009424F7" w:rsidP="00BB5633">
      <w:pPr>
        <w:rPr>
          <w:b/>
        </w:rPr>
      </w:pPr>
    </w:p>
    <w:p w:rsidR="009C7962" w:rsidRDefault="00111AFD" w:rsidP="00FF1FD8">
      <w:pPr>
        <w:numPr>
          <w:ilvl w:val="0"/>
          <w:numId w:val="16"/>
        </w:numPr>
      </w:pPr>
      <w:r>
        <w:t>Larry W. Minor, Associate Administrator for Policy, FMCSA, 202-366-2551.</w:t>
      </w:r>
    </w:p>
    <w:p w:rsidR="00111AFD" w:rsidRDefault="000C30C0" w:rsidP="00FF1FD8">
      <w:pPr>
        <w:numPr>
          <w:ilvl w:val="0"/>
          <w:numId w:val="16"/>
        </w:numPr>
      </w:pPr>
      <w:r>
        <w:t xml:space="preserve">Michael Huntley, Chief, </w:t>
      </w:r>
      <w:r w:rsidR="00114C31">
        <w:t>Vehicle and Roadside Operations Division</w:t>
      </w:r>
      <w:r>
        <w:t>, FMCSA, 202-366-9209.</w:t>
      </w:r>
    </w:p>
    <w:p w:rsidR="005071E8" w:rsidRDefault="00B12448" w:rsidP="00FF1FD8">
      <w:pPr>
        <w:numPr>
          <w:ilvl w:val="0"/>
          <w:numId w:val="16"/>
        </w:numPr>
      </w:pPr>
      <w:r>
        <w:t>Alan Strasser</w:t>
      </w:r>
      <w:r w:rsidR="00C06D60">
        <w:t>,</w:t>
      </w:r>
      <w:r w:rsidR="000C30C0">
        <w:t xml:space="preserve"> Regulatory </w:t>
      </w:r>
      <w:r>
        <w:t>Counsel,</w:t>
      </w:r>
      <w:r w:rsidR="005071E8">
        <w:t xml:space="preserve"> FMCSA, 202-366-</w:t>
      </w:r>
      <w:r w:rsidR="000C30C0">
        <w:t>0286</w:t>
      </w:r>
      <w:r w:rsidR="005071E8">
        <w:t>.</w:t>
      </w:r>
    </w:p>
    <w:p w:rsidR="0074323F" w:rsidRDefault="0074323F" w:rsidP="00E33FE8">
      <w:pPr>
        <w:rPr>
          <w:sz w:val="28"/>
          <w:szCs w:val="28"/>
        </w:rPr>
      </w:pPr>
    </w:p>
    <w:p w:rsidR="0074323F" w:rsidRPr="00200FF2" w:rsidRDefault="0074323F" w:rsidP="00E33FE8">
      <w:pPr>
        <w:rPr>
          <w:sz w:val="20"/>
          <w:szCs w:val="20"/>
        </w:rPr>
      </w:pPr>
    </w:p>
    <w:sectPr w:rsidR="0074323F" w:rsidRPr="00200FF2" w:rsidSect="0064401C">
      <w:footerReference w:type="even"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F6" w:rsidRDefault="006D76F6">
      <w:r>
        <w:separator/>
      </w:r>
    </w:p>
  </w:endnote>
  <w:endnote w:type="continuationSeparator" w:id="0">
    <w:p w:rsidR="006D76F6" w:rsidRDefault="006D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A76BDF"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A76BDF"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9D259E">
      <w:rPr>
        <w:rStyle w:val="PageNumber"/>
        <w:noProof/>
      </w:rPr>
      <w:t>3</w:t>
    </w:r>
    <w:r>
      <w:rPr>
        <w:rStyle w:val="PageNumber"/>
      </w:rPr>
      <w:fldChar w:fldCharType="end"/>
    </w:r>
  </w:p>
  <w:p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F6" w:rsidRDefault="006D76F6">
      <w:r>
        <w:separator/>
      </w:r>
    </w:p>
  </w:footnote>
  <w:footnote w:type="continuationSeparator" w:id="0">
    <w:p w:rsidR="006D76F6" w:rsidRDefault="006D7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0C30F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4"/>
  </w:num>
  <w:num w:numId="4">
    <w:abstractNumId w:val="18"/>
  </w:num>
  <w:num w:numId="5">
    <w:abstractNumId w:val="15"/>
  </w:num>
  <w:num w:numId="6">
    <w:abstractNumId w:val="12"/>
  </w:num>
  <w:num w:numId="7">
    <w:abstractNumId w:val="17"/>
  </w:num>
  <w:num w:numId="8">
    <w:abstractNumId w:val="21"/>
  </w:num>
  <w:num w:numId="9">
    <w:abstractNumId w:val="1"/>
  </w:num>
  <w:num w:numId="10">
    <w:abstractNumId w:val="7"/>
  </w:num>
  <w:num w:numId="11">
    <w:abstractNumId w:val="13"/>
  </w:num>
  <w:num w:numId="12">
    <w:abstractNumId w:val="16"/>
  </w:num>
  <w:num w:numId="13">
    <w:abstractNumId w:val="0"/>
  </w:num>
  <w:num w:numId="14">
    <w:abstractNumId w:val="20"/>
  </w:num>
  <w:num w:numId="15">
    <w:abstractNumId w:val="9"/>
  </w:num>
  <w:num w:numId="16">
    <w:abstractNumId w:val="4"/>
  </w:num>
  <w:num w:numId="17">
    <w:abstractNumId w:val="5"/>
  </w:num>
  <w:num w:numId="18">
    <w:abstractNumId w:val="22"/>
  </w:num>
  <w:num w:numId="19">
    <w:abstractNumId w:val="1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74C4"/>
    <w:rsid w:val="00016310"/>
    <w:rsid w:val="00017FA7"/>
    <w:rsid w:val="00020750"/>
    <w:rsid w:val="00023717"/>
    <w:rsid w:val="00031C4C"/>
    <w:rsid w:val="00035B79"/>
    <w:rsid w:val="00044A97"/>
    <w:rsid w:val="000511D0"/>
    <w:rsid w:val="00051439"/>
    <w:rsid w:val="00084D69"/>
    <w:rsid w:val="00086273"/>
    <w:rsid w:val="000923DA"/>
    <w:rsid w:val="00092DA5"/>
    <w:rsid w:val="000941F3"/>
    <w:rsid w:val="00096604"/>
    <w:rsid w:val="000A336C"/>
    <w:rsid w:val="000A4BCB"/>
    <w:rsid w:val="000B0C2C"/>
    <w:rsid w:val="000B3D06"/>
    <w:rsid w:val="000C30C0"/>
    <w:rsid w:val="000C6B91"/>
    <w:rsid w:val="000C6BB4"/>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2E99"/>
    <w:rsid w:val="00130B25"/>
    <w:rsid w:val="00134B22"/>
    <w:rsid w:val="00136EC4"/>
    <w:rsid w:val="0014162D"/>
    <w:rsid w:val="00142D1D"/>
    <w:rsid w:val="001462EE"/>
    <w:rsid w:val="001633FF"/>
    <w:rsid w:val="001726A4"/>
    <w:rsid w:val="00181D55"/>
    <w:rsid w:val="00184842"/>
    <w:rsid w:val="001879F3"/>
    <w:rsid w:val="0019112B"/>
    <w:rsid w:val="00195ADB"/>
    <w:rsid w:val="001964AD"/>
    <w:rsid w:val="00196902"/>
    <w:rsid w:val="00197974"/>
    <w:rsid w:val="001A254F"/>
    <w:rsid w:val="001A3E41"/>
    <w:rsid w:val="001A72F6"/>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25D5"/>
    <w:rsid w:val="002C3DC0"/>
    <w:rsid w:val="002C547E"/>
    <w:rsid w:val="002D10F1"/>
    <w:rsid w:val="002D3231"/>
    <w:rsid w:val="002F01B5"/>
    <w:rsid w:val="002F1DD6"/>
    <w:rsid w:val="002F774A"/>
    <w:rsid w:val="003018FF"/>
    <w:rsid w:val="00331733"/>
    <w:rsid w:val="003402CF"/>
    <w:rsid w:val="00362C5C"/>
    <w:rsid w:val="003672B4"/>
    <w:rsid w:val="0037230B"/>
    <w:rsid w:val="00372A16"/>
    <w:rsid w:val="00385002"/>
    <w:rsid w:val="003922AA"/>
    <w:rsid w:val="00395F21"/>
    <w:rsid w:val="003A03E8"/>
    <w:rsid w:val="003A471C"/>
    <w:rsid w:val="003B34B9"/>
    <w:rsid w:val="003B595D"/>
    <w:rsid w:val="003C0930"/>
    <w:rsid w:val="003D0033"/>
    <w:rsid w:val="003D1160"/>
    <w:rsid w:val="003D1D78"/>
    <w:rsid w:val="003D5F0F"/>
    <w:rsid w:val="003D7595"/>
    <w:rsid w:val="003F0575"/>
    <w:rsid w:val="003F1A32"/>
    <w:rsid w:val="00402131"/>
    <w:rsid w:val="004172F6"/>
    <w:rsid w:val="00432FB0"/>
    <w:rsid w:val="00436881"/>
    <w:rsid w:val="004515B5"/>
    <w:rsid w:val="00455910"/>
    <w:rsid w:val="004613BB"/>
    <w:rsid w:val="00473A12"/>
    <w:rsid w:val="00474FF2"/>
    <w:rsid w:val="00492EA6"/>
    <w:rsid w:val="004945EA"/>
    <w:rsid w:val="004B0FF1"/>
    <w:rsid w:val="004B5AA7"/>
    <w:rsid w:val="004C0618"/>
    <w:rsid w:val="004C0E64"/>
    <w:rsid w:val="004C1858"/>
    <w:rsid w:val="004C2B24"/>
    <w:rsid w:val="004C5682"/>
    <w:rsid w:val="004D1F27"/>
    <w:rsid w:val="004D7CEC"/>
    <w:rsid w:val="004E3ED6"/>
    <w:rsid w:val="004F2912"/>
    <w:rsid w:val="004F4C67"/>
    <w:rsid w:val="005071E8"/>
    <w:rsid w:val="005113D3"/>
    <w:rsid w:val="00514F3C"/>
    <w:rsid w:val="00521CDC"/>
    <w:rsid w:val="00526626"/>
    <w:rsid w:val="00532BF1"/>
    <w:rsid w:val="00543D4C"/>
    <w:rsid w:val="00545475"/>
    <w:rsid w:val="0054764D"/>
    <w:rsid w:val="00551295"/>
    <w:rsid w:val="00556182"/>
    <w:rsid w:val="00561648"/>
    <w:rsid w:val="00563DD1"/>
    <w:rsid w:val="00564ED1"/>
    <w:rsid w:val="00572A0F"/>
    <w:rsid w:val="005740C4"/>
    <w:rsid w:val="00595AAE"/>
    <w:rsid w:val="00596D5D"/>
    <w:rsid w:val="005B68F0"/>
    <w:rsid w:val="005C4491"/>
    <w:rsid w:val="005C536D"/>
    <w:rsid w:val="005D131F"/>
    <w:rsid w:val="005D4FC7"/>
    <w:rsid w:val="005E3347"/>
    <w:rsid w:val="005E7C97"/>
    <w:rsid w:val="005F52CF"/>
    <w:rsid w:val="005F541B"/>
    <w:rsid w:val="00600EE3"/>
    <w:rsid w:val="00611915"/>
    <w:rsid w:val="006312E4"/>
    <w:rsid w:val="00631A87"/>
    <w:rsid w:val="0063616F"/>
    <w:rsid w:val="00641C9C"/>
    <w:rsid w:val="0064401C"/>
    <w:rsid w:val="0065542A"/>
    <w:rsid w:val="00656BA5"/>
    <w:rsid w:val="00660487"/>
    <w:rsid w:val="00682F0D"/>
    <w:rsid w:val="00685000"/>
    <w:rsid w:val="00695363"/>
    <w:rsid w:val="006974CE"/>
    <w:rsid w:val="006A1E8A"/>
    <w:rsid w:val="006A4C20"/>
    <w:rsid w:val="006A7809"/>
    <w:rsid w:val="006B209C"/>
    <w:rsid w:val="006C2F61"/>
    <w:rsid w:val="006C4012"/>
    <w:rsid w:val="006D2089"/>
    <w:rsid w:val="006D76F6"/>
    <w:rsid w:val="006E0226"/>
    <w:rsid w:val="006F26B5"/>
    <w:rsid w:val="006F3AF1"/>
    <w:rsid w:val="006F59E6"/>
    <w:rsid w:val="006F68C1"/>
    <w:rsid w:val="006F69D8"/>
    <w:rsid w:val="007127D9"/>
    <w:rsid w:val="00723BEF"/>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F3818"/>
    <w:rsid w:val="007F6B1D"/>
    <w:rsid w:val="008034AA"/>
    <w:rsid w:val="00806CD0"/>
    <w:rsid w:val="00811ED1"/>
    <w:rsid w:val="00824039"/>
    <w:rsid w:val="00833B14"/>
    <w:rsid w:val="00835C3D"/>
    <w:rsid w:val="00845A8A"/>
    <w:rsid w:val="008465F6"/>
    <w:rsid w:val="00852802"/>
    <w:rsid w:val="00853F1C"/>
    <w:rsid w:val="0085496F"/>
    <w:rsid w:val="0087383A"/>
    <w:rsid w:val="008776F8"/>
    <w:rsid w:val="00885469"/>
    <w:rsid w:val="008A23DB"/>
    <w:rsid w:val="008A4984"/>
    <w:rsid w:val="008B07EC"/>
    <w:rsid w:val="008B0E7C"/>
    <w:rsid w:val="008B1301"/>
    <w:rsid w:val="008B2213"/>
    <w:rsid w:val="008B2D2F"/>
    <w:rsid w:val="008B3175"/>
    <w:rsid w:val="008C4C0D"/>
    <w:rsid w:val="008C7BD6"/>
    <w:rsid w:val="008D0D9A"/>
    <w:rsid w:val="008D1CEE"/>
    <w:rsid w:val="00901D5A"/>
    <w:rsid w:val="00915748"/>
    <w:rsid w:val="00917782"/>
    <w:rsid w:val="009337B9"/>
    <w:rsid w:val="00933C9C"/>
    <w:rsid w:val="00935385"/>
    <w:rsid w:val="009376B1"/>
    <w:rsid w:val="00937990"/>
    <w:rsid w:val="009424F7"/>
    <w:rsid w:val="00947466"/>
    <w:rsid w:val="009567B7"/>
    <w:rsid w:val="00960BC7"/>
    <w:rsid w:val="00961212"/>
    <w:rsid w:val="00966525"/>
    <w:rsid w:val="00972BF6"/>
    <w:rsid w:val="0097400A"/>
    <w:rsid w:val="00974D30"/>
    <w:rsid w:val="00982838"/>
    <w:rsid w:val="00982C32"/>
    <w:rsid w:val="009A79B4"/>
    <w:rsid w:val="009B65C8"/>
    <w:rsid w:val="009B7445"/>
    <w:rsid w:val="009C5B51"/>
    <w:rsid w:val="009C628B"/>
    <w:rsid w:val="009C7962"/>
    <w:rsid w:val="009D0AAF"/>
    <w:rsid w:val="009D2054"/>
    <w:rsid w:val="009D259E"/>
    <w:rsid w:val="009D3FD7"/>
    <w:rsid w:val="009E1474"/>
    <w:rsid w:val="009F6C87"/>
    <w:rsid w:val="00A04B09"/>
    <w:rsid w:val="00A133A3"/>
    <w:rsid w:val="00A14DFF"/>
    <w:rsid w:val="00A15826"/>
    <w:rsid w:val="00A2126E"/>
    <w:rsid w:val="00A3434B"/>
    <w:rsid w:val="00A4491F"/>
    <w:rsid w:val="00A57F27"/>
    <w:rsid w:val="00A65C2E"/>
    <w:rsid w:val="00A70316"/>
    <w:rsid w:val="00A710A6"/>
    <w:rsid w:val="00A73649"/>
    <w:rsid w:val="00A74B94"/>
    <w:rsid w:val="00A7557B"/>
    <w:rsid w:val="00A755F1"/>
    <w:rsid w:val="00A76BDF"/>
    <w:rsid w:val="00A76C25"/>
    <w:rsid w:val="00A82859"/>
    <w:rsid w:val="00A85A49"/>
    <w:rsid w:val="00A929EE"/>
    <w:rsid w:val="00A96117"/>
    <w:rsid w:val="00AB2788"/>
    <w:rsid w:val="00AB4774"/>
    <w:rsid w:val="00AC738A"/>
    <w:rsid w:val="00AD1789"/>
    <w:rsid w:val="00AD2FF3"/>
    <w:rsid w:val="00AD69EC"/>
    <w:rsid w:val="00AE679D"/>
    <w:rsid w:val="00B05AF7"/>
    <w:rsid w:val="00B12448"/>
    <w:rsid w:val="00B14145"/>
    <w:rsid w:val="00B1704F"/>
    <w:rsid w:val="00B20C3F"/>
    <w:rsid w:val="00B34C13"/>
    <w:rsid w:val="00B500BC"/>
    <w:rsid w:val="00B56237"/>
    <w:rsid w:val="00B61C0B"/>
    <w:rsid w:val="00B626F6"/>
    <w:rsid w:val="00B7121F"/>
    <w:rsid w:val="00B86925"/>
    <w:rsid w:val="00B87392"/>
    <w:rsid w:val="00B95B1C"/>
    <w:rsid w:val="00BB1544"/>
    <w:rsid w:val="00BB5633"/>
    <w:rsid w:val="00BC3375"/>
    <w:rsid w:val="00BD164E"/>
    <w:rsid w:val="00BD26F5"/>
    <w:rsid w:val="00BE1D3D"/>
    <w:rsid w:val="00BE1FE5"/>
    <w:rsid w:val="00BE59A6"/>
    <w:rsid w:val="00BE5B9F"/>
    <w:rsid w:val="00BF4DD1"/>
    <w:rsid w:val="00BF6EC7"/>
    <w:rsid w:val="00BF7189"/>
    <w:rsid w:val="00C06D60"/>
    <w:rsid w:val="00C27A4A"/>
    <w:rsid w:val="00C371F9"/>
    <w:rsid w:val="00C44F78"/>
    <w:rsid w:val="00C44FC1"/>
    <w:rsid w:val="00C62E2E"/>
    <w:rsid w:val="00C66F56"/>
    <w:rsid w:val="00C70879"/>
    <w:rsid w:val="00C71F86"/>
    <w:rsid w:val="00C81B20"/>
    <w:rsid w:val="00C84EA5"/>
    <w:rsid w:val="00C874B7"/>
    <w:rsid w:val="00C91861"/>
    <w:rsid w:val="00C91C88"/>
    <w:rsid w:val="00CA0A54"/>
    <w:rsid w:val="00CC3687"/>
    <w:rsid w:val="00CC6EBC"/>
    <w:rsid w:val="00CD13D4"/>
    <w:rsid w:val="00CD1ACB"/>
    <w:rsid w:val="00CD2237"/>
    <w:rsid w:val="00CD2463"/>
    <w:rsid w:val="00CE2AFE"/>
    <w:rsid w:val="00CE3244"/>
    <w:rsid w:val="00CF208B"/>
    <w:rsid w:val="00CF25FE"/>
    <w:rsid w:val="00CF4487"/>
    <w:rsid w:val="00D00E2A"/>
    <w:rsid w:val="00D10A77"/>
    <w:rsid w:val="00D20D8E"/>
    <w:rsid w:val="00D24890"/>
    <w:rsid w:val="00D24F0C"/>
    <w:rsid w:val="00D31A22"/>
    <w:rsid w:val="00D3449B"/>
    <w:rsid w:val="00D35AA8"/>
    <w:rsid w:val="00D363D6"/>
    <w:rsid w:val="00D417A3"/>
    <w:rsid w:val="00D43D93"/>
    <w:rsid w:val="00D440C0"/>
    <w:rsid w:val="00D4613A"/>
    <w:rsid w:val="00D476F0"/>
    <w:rsid w:val="00D51BB1"/>
    <w:rsid w:val="00D53C7A"/>
    <w:rsid w:val="00D545CA"/>
    <w:rsid w:val="00D6360C"/>
    <w:rsid w:val="00D80A2F"/>
    <w:rsid w:val="00D86F5C"/>
    <w:rsid w:val="00D9081E"/>
    <w:rsid w:val="00D94EA4"/>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2F5C"/>
    <w:rsid w:val="00E33FE8"/>
    <w:rsid w:val="00E369DE"/>
    <w:rsid w:val="00E37C30"/>
    <w:rsid w:val="00E465A6"/>
    <w:rsid w:val="00E51CF0"/>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C00"/>
    <w:rsid w:val="00F548F7"/>
    <w:rsid w:val="00F65426"/>
    <w:rsid w:val="00F72391"/>
    <w:rsid w:val="00F77A9D"/>
    <w:rsid w:val="00F80390"/>
    <w:rsid w:val="00F80939"/>
    <w:rsid w:val="00F83E49"/>
    <w:rsid w:val="00F90223"/>
    <w:rsid w:val="00FA0B7F"/>
    <w:rsid w:val="00FB4D46"/>
    <w:rsid w:val="00FB7BCE"/>
    <w:rsid w:val="00FC34CF"/>
    <w:rsid w:val="00FC7157"/>
    <w:rsid w:val="00FD6C3D"/>
    <w:rsid w:val="00FD7B46"/>
    <w:rsid w:val="00FE004B"/>
    <w:rsid w:val="00FE072C"/>
    <w:rsid w:val="00FE540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1611-9886-4F37-A4CB-9F60F67D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Turner, Elizabeth (VOLPE)</cp:lastModifiedBy>
  <cp:revision>2</cp:revision>
  <cp:lastPrinted>2012-02-02T20:38:00Z</cp:lastPrinted>
  <dcterms:created xsi:type="dcterms:W3CDTF">2012-02-03T17:18:00Z</dcterms:created>
  <dcterms:modified xsi:type="dcterms:W3CDTF">2012-02-03T17:18:00Z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