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C6F" w:rsidRDefault="00487C6F" w:rsidP="004F36F3">
      <w:pPr>
        <w:jc w:val="center"/>
        <w:rPr>
          <w:b/>
          <w:iCs/>
        </w:rPr>
      </w:pPr>
      <w:r>
        <w:rPr>
          <w:b/>
          <w:iCs/>
        </w:rPr>
        <w:t>MCSAC Task 12-03:  Evaluation of and Recommendations on the Compliance, Safety, Accountability (CSA) Program</w:t>
      </w:r>
    </w:p>
    <w:p w:rsidR="00DC00F3" w:rsidRPr="00452006" w:rsidRDefault="00DB30BA" w:rsidP="007F25C2">
      <w:pPr>
        <w:jc w:val="center"/>
        <w:rPr>
          <w:b/>
          <w:iCs/>
        </w:rPr>
      </w:pPr>
      <w:r w:rsidRPr="00487C6F">
        <w:rPr>
          <w:b/>
          <w:iCs/>
        </w:rPr>
        <w:t xml:space="preserve">Subcommittee </w:t>
      </w:r>
      <w:r w:rsidR="00555F0E">
        <w:rPr>
          <w:b/>
          <w:iCs/>
        </w:rPr>
        <w:t>Meeting</w:t>
      </w:r>
      <w:r w:rsidR="00487C6F">
        <w:rPr>
          <w:b/>
          <w:iCs/>
        </w:rPr>
        <w:t xml:space="preserve">, </w:t>
      </w:r>
      <w:r w:rsidR="00FD1F61">
        <w:rPr>
          <w:b/>
          <w:iCs/>
        </w:rPr>
        <w:t>February 12, 2014</w:t>
      </w:r>
    </w:p>
    <w:p w:rsidR="00F50061" w:rsidRPr="00F50061" w:rsidRDefault="00F50061" w:rsidP="00F50061"/>
    <w:p w:rsidR="00FD1F61" w:rsidRPr="00FD1F61" w:rsidRDefault="00371992" w:rsidP="00761CC3">
      <w:pPr>
        <w:pStyle w:val="ListParagraph"/>
        <w:numPr>
          <w:ilvl w:val="0"/>
          <w:numId w:val="1"/>
        </w:numPr>
        <w:rPr>
          <w:b/>
        </w:rPr>
      </w:pPr>
      <w:r>
        <w:rPr>
          <w:b/>
        </w:rPr>
        <w:t xml:space="preserve">Presentation or Discussion </w:t>
      </w:r>
      <w:r w:rsidR="0030222C">
        <w:rPr>
          <w:b/>
        </w:rPr>
        <w:t xml:space="preserve">Suggestions for </w:t>
      </w:r>
      <w:r w:rsidR="00FD1F61">
        <w:rPr>
          <w:b/>
        </w:rPr>
        <w:t>April 2014 CSA Subcommittee Meeting</w:t>
      </w:r>
    </w:p>
    <w:p w:rsidR="00FD1F61" w:rsidRDefault="003C21D4" w:rsidP="00FD1F61">
      <w:pPr>
        <w:pStyle w:val="ListParagraph"/>
        <w:numPr>
          <w:ilvl w:val="1"/>
          <w:numId w:val="1"/>
        </w:numPr>
        <w:ind w:left="720"/>
      </w:pPr>
      <w:r>
        <w:t xml:space="preserve">More information/update on </w:t>
      </w:r>
      <w:r w:rsidR="00855252">
        <w:t xml:space="preserve">the </w:t>
      </w:r>
      <w:r>
        <w:t xml:space="preserve">Driver Fitness and Drug and Alcohol </w:t>
      </w:r>
      <w:r w:rsidR="00855252">
        <w:t xml:space="preserve">Behavior Analysis &amp; Safety Improvement Categories (BASICs) </w:t>
      </w:r>
      <w:r>
        <w:t>correlation to crash risk.</w:t>
      </w:r>
    </w:p>
    <w:p w:rsidR="003C21D4" w:rsidRDefault="003C21D4" w:rsidP="00FD1F61">
      <w:pPr>
        <w:pStyle w:val="ListParagraph"/>
        <w:numPr>
          <w:ilvl w:val="1"/>
          <w:numId w:val="1"/>
        </w:numPr>
        <w:ind w:left="720"/>
      </w:pPr>
      <w:r>
        <w:t xml:space="preserve">Statistician to explain (in layman’s terms) the development of all of the BASICs and how </w:t>
      </w:r>
      <w:r w:rsidR="0030222C">
        <w:t>FMCSA</w:t>
      </w:r>
      <w:r>
        <w:t xml:space="preserve"> calculate</w:t>
      </w:r>
      <w:r w:rsidR="0030222C">
        <w:t>s</w:t>
      </w:r>
      <w:r>
        <w:t xml:space="preserve"> each BASIC’s corr</w:t>
      </w:r>
      <w:bookmarkStart w:id="0" w:name="_GoBack"/>
      <w:bookmarkEnd w:id="0"/>
      <w:r>
        <w:t xml:space="preserve">elation to crash risk. </w:t>
      </w:r>
    </w:p>
    <w:p w:rsidR="003C21D4" w:rsidRDefault="003C21D4" w:rsidP="003C21D4">
      <w:pPr>
        <w:pStyle w:val="ListParagraph"/>
        <w:numPr>
          <w:ilvl w:val="2"/>
          <w:numId w:val="1"/>
        </w:numPr>
        <w:ind w:left="1440" w:hanging="360"/>
      </w:pPr>
      <w:r>
        <w:t>W</w:t>
      </w:r>
      <w:r w:rsidR="0030222C">
        <w:t>hat has the Agency</w:t>
      </w:r>
      <w:r>
        <w:t xml:space="preserve"> </w:t>
      </w:r>
      <w:r w:rsidR="0030222C">
        <w:t>considered</w:t>
      </w:r>
      <w:r>
        <w:t xml:space="preserve"> for improvement to the Driver Fitness BASIC?</w:t>
      </w:r>
    </w:p>
    <w:p w:rsidR="003C21D4" w:rsidRDefault="003C21D4" w:rsidP="00FD1F61">
      <w:pPr>
        <w:pStyle w:val="ListParagraph"/>
        <w:numPr>
          <w:ilvl w:val="1"/>
          <w:numId w:val="1"/>
        </w:numPr>
        <w:ind w:left="720"/>
      </w:pPr>
      <w:r>
        <w:t>Presentation on the results of the Crash Weighting Study and what those results mean moving forward.</w:t>
      </w:r>
    </w:p>
    <w:p w:rsidR="003C21D4" w:rsidRDefault="005C3BA0" w:rsidP="00FD1F61">
      <w:pPr>
        <w:pStyle w:val="ListParagraph"/>
        <w:numPr>
          <w:ilvl w:val="1"/>
          <w:numId w:val="1"/>
        </w:numPr>
        <w:ind w:left="720"/>
      </w:pPr>
      <w:r>
        <w:t>Presentation on the extent to which intrastate data might be used to validate interstate data or reduce crashes.</w:t>
      </w:r>
    </w:p>
    <w:p w:rsidR="005C3BA0" w:rsidRDefault="005C3BA0" w:rsidP="00FD1F61">
      <w:pPr>
        <w:pStyle w:val="ListParagraph"/>
        <w:numPr>
          <w:ilvl w:val="1"/>
          <w:numId w:val="1"/>
        </w:numPr>
        <w:ind w:left="720"/>
      </w:pPr>
      <w:r>
        <w:t>Presentation on severity weight analysis:  methodology, how FMCSA developed violation severity weight</w:t>
      </w:r>
      <w:r w:rsidR="00F3687D">
        <w:t>s</w:t>
      </w:r>
      <w:r>
        <w:t>, and how they are used.</w:t>
      </w:r>
    </w:p>
    <w:p w:rsidR="005C3BA0" w:rsidRDefault="00F3687D" w:rsidP="005C3BA0">
      <w:pPr>
        <w:pStyle w:val="ListParagraph"/>
        <w:numPr>
          <w:ilvl w:val="2"/>
          <w:numId w:val="1"/>
        </w:numPr>
        <w:ind w:left="1440" w:hanging="360"/>
      </w:pPr>
      <w:r>
        <w:t xml:space="preserve">Shannon has emailed to subcommittee members the </w:t>
      </w:r>
      <w:r w:rsidR="005C3BA0">
        <w:t>previous severity weight presentation</w:t>
      </w:r>
      <w:r>
        <w:t xml:space="preserve"> given to the CSA </w:t>
      </w:r>
      <w:r w:rsidR="005C3BA0">
        <w:t>subcommittee.</w:t>
      </w:r>
    </w:p>
    <w:p w:rsidR="005C3BA0" w:rsidRDefault="00F3687D" w:rsidP="005C3BA0">
      <w:pPr>
        <w:pStyle w:val="ListParagraph"/>
        <w:numPr>
          <w:ilvl w:val="2"/>
          <w:numId w:val="1"/>
        </w:numPr>
        <w:ind w:left="1440" w:hanging="360"/>
      </w:pPr>
      <w:r>
        <w:t xml:space="preserve">Bill </w:t>
      </w:r>
      <w:proofErr w:type="spellStart"/>
      <w:r>
        <w:t>Quade</w:t>
      </w:r>
      <w:proofErr w:type="spellEnd"/>
      <w:r>
        <w:t xml:space="preserve">: </w:t>
      </w:r>
      <w:r w:rsidR="005C3BA0">
        <w:t xml:space="preserve">The next </w:t>
      </w:r>
      <w:r>
        <w:t>Safety Measurement System (</w:t>
      </w:r>
      <w:r w:rsidR="005C3BA0">
        <w:t>SMS</w:t>
      </w:r>
      <w:r>
        <w:t>)</w:t>
      </w:r>
      <w:r w:rsidR="005C3BA0">
        <w:t xml:space="preserve"> change will address violation severity weighting recommendatio</w:t>
      </w:r>
      <w:r>
        <w:t>ns provided by the MCSAC</w:t>
      </w:r>
      <w:r w:rsidR="005C3BA0">
        <w:t>.</w:t>
      </w:r>
      <w:r w:rsidR="008825DB">
        <w:t xml:space="preserve"> </w:t>
      </w:r>
      <w:r>
        <w:t>The next SMS revisions w</w:t>
      </w:r>
      <w:r w:rsidR="008825DB">
        <w:t xml:space="preserve">ill </w:t>
      </w:r>
      <w:r>
        <w:t xml:space="preserve">likely </w:t>
      </w:r>
      <w:r w:rsidR="008825DB">
        <w:t xml:space="preserve">not occur until after Safety Fitness Determination </w:t>
      </w:r>
      <w:r>
        <w:t xml:space="preserve">(SFD) </w:t>
      </w:r>
      <w:r w:rsidR="008825DB">
        <w:t>proposed rule.</w:t>
      </w:r>
    </w:p>
    <w:p w:rsidR="005C3BA0" w:rsidRDefault="008879E4" w:rsidP="00FD1F61">
      <w:pPr>
        <w:pStyle w:val="ListParagraph"/>
        <w:numPr>
          <w:ilvl w:val="1"/>
          <w:numId w:val="1"/>
        </w:numPr>
        <w:ind w:left="720"/>
      </w:pPr>
      <w:r>
        <w:t xml:space="preserve">What are FMCSA’s expectations from the shipping </w:t>
      </w:r>
      <w:r w:rsidR="00F3687D">
        <w:t>community?</w:t>
      </w:r>
    </w:p>
    <w:p w:rsidR="008879E4" w:rsidRDefault="008879E4" w:rsidP="00FD1F61">
      <w:pPr>
        <w:pStyle w:val="ListParagraph"/>
        <w:numPr>
          <w:ilvl w:val="1"/>
          <w:numId w:val="1"/>
        </w:numPr>
        <w:ind w:left="720"/>
      </w:pPr>
      <w:r>
        <w:t xml:space="preserve">How is </w:t>
      </w:r>
      <w:r w:rsidR="007471B0">
        <w:t>CSA</w:t>
      </w:r>
      <w:r>
        <w:t xml:space="preserve"> data being used? The data is being used in more ways than just prioritizing FMCSA interventions, and not always consistently.</w:t>
      </w:r>
    </w:p>
    <w:p w:rsidR="008879E4" w:rsidRDefault="008879E4" w:rsidP="008879E4">
      <w:pPr>
        <w:pStyle w:val="ListParagraph"/>
        <w:numPr>
          <w:ilvl w:val="2"/>
          <w:numId w:val="1"/>
        </w:numPr>
        <w:ind w:left="1440" w:hanging="360"/>
      </w:pPr>
      <w:r>
        <w:t>Public availability and use of data is still a concern for carriers.</w:t>
      </w:r>
    </w:p>
    <w:p w:rsidR="008879E4" w:rsidRDefault="00962A3C" w:rsidP="00FD1F61">
      <w:pPr>
        <w:pStyle w:val="ListParagraph"/>
        <w:numPr>
          <w:ilvl w:val="1"/>
          <w:numId w:val="1"/>
        </w:numPr>
        <w:ind w:left="720"/>
      </w:pPr>
      <w:r>
        <w:t>Presentation on State enforcement disparities – what are they?</w:t>
      </w:r>
    </w:p>
    <w:p w:rsidR="00CC67F0" w:rsidRDefault="00CC67F0" w:rsidP="00CC67F0">
      <w:pPr>
        <w:pStyle w:val="ListParagraph"/>
        <w:numPr>
          <w:ilvl w:val="2"/>
          <w:numId w:val="1"/>
        </w:numPr>
        <w:ind w:left="1440" w:hanging="360"/>
      </w:pPr>
      <w:r>
        <w:t>The Agency might benefit from reports by participating States on how many inspections they conduct, what kind of inspections, and what kind of violations they cite for, and what conditions they put out of service.</w:t>
      </w:r>
    </w:p>
    <w:p w:rsidR="00CC67F0" w:rsidRDefault="00CC67F0" w:rsidP="00CC67F0">
      <w:pPr>
        <w:pStyle w:val="ListParagraph"/>
        <w:numPr>
          <w:ilvl w:val="2"/>
          <w:numId w:val="1"/>
        </w:numPr>
        <w:ind w:left="1440" w:hanging="360"/>
      </w:pPr>
      <w:r>
        <w:t>How could FMCSA normalize data across various data disparities and differences in miles driven?</w:t>
      </w:r>
    </w:p>
    <w:p w:rsidR="00962A3C" w:rsidRDefault="00962A3C" w:rsidP="00FD1F61">
      <w:pPr>
        <w:pStyle w:val="ListParagraph"/>
        <w:numPr>
          <w:ilvl w:val="1"/>
          <w:numId w:val="1"/>
        </w:numPr>
        <w:ind w:left="720"/>
      </w:pPr>
      <w:r>
        <w:t>Dispute process for violations on a carrier’s record.</w:t>
      </w:r>
    </w:p>
    <w:p w:rsidR="00962A3C" w:rsidRDefault="00371992" w:rsidP="00962A3C">
      <w:pPr>
        <w:pStyle w:val="ListParagraph"/>
        <w:numPr>
          <w:ilvl w:val="2"/>
          <w:numId w:val="1"/>
        </w:numPr>
        <w:ind w:left="1440" w:hanging="360"/>
      </w:pPr>
      <w:r>
        <w:t>There are d</w:t>
      </w:r>
      <w:r w:rsidR="00962A3C">
        <w:t xml:space="preserve">ata quality issues relating to lag time in </w:t>
      </w:r>
      <w:proofErr w:type="spellStart"/>
      <w:r w:rsidR="00962A3C">
        <w:t>DataQs</w:t>
      </w:r>
      <w:proofErr w:type="spellEnd"/>
      <w:r w:rsidR="00962A3C">
        <w:t xml:space="preserve"> resolutions or inaccurate </w:t>
      </w:r>
      <w:proofErr w:type="spellStart"/>
      <w:r w:rsidR="00962A3C">
        <w:t>DataQs</w:t>
      </w:r>
      <w:proofErr w:type="spellEnd"/>
      <w:r w:rsidR="00962A3C">
        <w:t xml:space="preserve"> resolution</w:t>
      </w:r>
      <w:r>
        <w:t>s</w:t>
      </w:r>
      <w:r w:rsidR="00962A3C">
        <w:t>.</w:t>
      </w:r>
    </w:p>
    <w:p w:rsidR="00962A3C" w:rsidRDefault="00371992" w:rsidP="00FD1F61">
      <w:pPr>
        <w:pStyle w:val="ListParagraph"/>
        <w:numPr>
          <w:ilvl w:val="1"/>
          <w:numId w:val="1"/>
        </w:numPr>
        <w:ind w:left="720"/>
      </w:pPr>
      <w:r>
        <w:t xml:space="preserve">Current </w:t>
      </w:r>
      <w:r w:rsidR="00962A3C">
        <w:t>peer groupings</w:t>
      </w:r>
      <w:r>
        <w:t xml:space="preserve"> are a concern for carriers.</w:t>
      </w:r>
    </w:p>
    <w:p w:rsidR="00962A3C" w:rsidRDefault="00371992" w:rsidP="00962A3C">
      <w:pPr>
        <w:pStyle w:val="ListParagraph"/>
        <w:numPr>
          <w:ilvl w:val="2"/>
          <w:numId w:val="1"/>
        </w:numPr>
        <w:ind w:left="1440" w:hanging="360"/>
      </w:pPr>
      <w:r>
        <w:t xml:space="preserve">Bill </w:t>
      </w:r>
      <w:proofErr w:type="spellStart"/>
      <w:r>
        <w:t>Quade</w:t>
      </w:r>
      <w:proofErr w:type="spellEnd"/>
      <w:r>
        <w:t xml:space="preserve">: </w:t>
      </w:r>
      <w:r w:rsidR="00962A3C">
        <w:t>FMCSA is looking towards moving to “dynamic peer grouping” in an effort to reduce the large jumps in scores that can result when inspections push a carrier into a different peer group.</w:t>
      </w:r>
    </w:p>
    <w:p w:rsidR="00962A3C" w:rsidRPr="00FD1F61" w:rsidRDefault="00D40891" w:rsidP="00FD1F61">
      <w:pPr>
        <w:pStyle w:val="ListParagraph"/>
        <w:numPr>
          <w:ilvl w:val="1"/>
          <w:numId w:val="1"/>
        </w:numPr>
        <w:ind w:left="720"/>
      </w:pPr>
      <w:r>
        <w:t>Discussion of possible recommended statement to FMCSA from the MCSAC on the GAO report.</w:t>
      </w:r>
    </w:p>
    <w:p w:rsidR="00C45AA9" w:rsidRDefault="00C45AA9" w:rsidP="00C45AA9">
      <w:pPr>
        <w:pStyle w:val="ListParagraph"/>
      </w:pPr>
    </w:p>
    <w:sectPr w:rsidR="00C45AA9" w:rsidSect="008338D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8A" w:rsidRDefault="00173F8A" w:rsidP="00E054A9">
      <w:r>
        <w:separator/>
      </w:r>
    </w:p>
  </w:endnote>
  <w:endnote w:type="continuationSeparator" w:id="0">
    <w:p w:rsidR="00173F8A" w:rsidRDefault="00173F8A" w:rsidP="00E0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173576"/>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sidR="00911378">
          <w:rPr>
            <w:noProof/>
          </w:rPr>
          <w:t>1</w:t>
        </w:r>
        <w:r>
          <w:rPr>
            <w:noProof/>
          </w:rPr>
          <w:fldChar w:fldCharType="end"/>
        </w:r>
      </w:p>
    </w:sdtContent>
  </w:sdt>
  <w:p w:rsidR="00C863A9" w:rsidRDefault="00C8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162198"/>
      <w:docPartObj>
        <w:docPartGallery w:val="Page Numbers (Bottom of Page)"/>
        <w:docPartUnique/>
      </w:docPartObj>
    </w:sdtPr>
    <w:sdtEndPr>
      <w:rPr>
        <w:noProof/>
      </w:rPr>
    </w:sdtEndPr>
    <w:sdtContent>
      <w:p w:rsidR="00C863A9" w:rsidRDefault="00C863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863A9" w:rsidRDefault="00C8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8A" w:rsidRDefault="00173F8A" w:rsidP="00E054A9">
      <w:r>
        <w:separator/>
      </w:r>
    </w:p>
  </w:footnote>
  <w:footnote w:type="continuationSeparator" w:id="0">
    <w:p w:rsidR="00173F8A" w:rsidRDefault="00173F8A" w:rsidP="00E05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A9" w:rsidRDefault="00173F8A">
    <w:pPr>
      <w:pStyle w:val="Header"/>
    </w:pPr>
    <w:sdt>
      <w:sdtPr>
        <w:id w:val="-533421494"/>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63A9">
      <w:ptab w:relativeTo="margin" w:alignment="center" w:leader="none"/>
    </w:r>
    <w:r w:rsidR="00C863A9">
      <w:ptab w:relativeTo="margin" w:alignment="right" w:leader="none"/>
    </w:r>
    <w:r w:rsidR="00C863A9">
      <w:t>MCSAC CSA Subcommittee Discussion</w:t>
    </w:r>
  </w:p>
  <w:p w:rsidR="00C863A9" w:rsidRDefault="00FE37AC" w:rsidP="00B801AE">
    <w:pPr>
      <w:pStyle w:val="Header"/>
      <w:jc w:val="right"/>
    </w:pPr>
    <w:r>
      <w:t>February 12,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5AA8"/>
    <w:multiLevelType w:val="hybridMultilevel"/>
    <w:tmpl w:val="3A8674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867F6"/>
    <w:multiLevelType w:val="hybridMultilevel"/>
    <w:tmpl w:val="284AED46"/>
    <w:lvl w:ilvl="0" w:tplc="2C7ACB32">
      <w:start w:val="1"/>
      <w:numFmt w:val="upp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B01ED"/>
    <w:multiLevelType w:val="hybridMultilevel"/>
    <w:tmpl w:val="83BA142C"/>
    <w:lvl w:ilvl="0" w:tplc="0409000F">
      <w:start w:val="1"/>
      <w:numFmt w:val="decimal"/>
      <w:lvlText w:val="%1."/>
      <w:lvlJc w:val="left"/>
      <w:pPr>
        <w:ind w:left="1080" w:hanging="360"/>
      </w:pPr>
      <w:rPr>
        <w:b w:val="0"/>
      </w:rPr>
    </w:lvl>
    <w:lvl w:ilvl="1" w:tplc="458429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A48AF"/>
    <w:multiLevelType w:val="hybridMultilevel"/>
    <w:tmpl w:val="9EB2A6F0"/>
    <w:lvl w:ilvl="0" w:tplc="6EE6F634">
      <w:start w:val="1"/>
      <w:numFmt w:val="upperRoman"/>
      <w:lvlText w:val="%1."/>
      <w:lvlJc w:val="right"/>
      <w:pPr>
        <w:ind w:left="216" w:hanging="216"/>
      </w:pPr>
      <w:rPr>
        <w:rFonts w:hint="default"/>
        <w:b/>
      </w:rPr>
    </w:lvl>
    <w:lvl w:ilvl="1" w:tplc="2C7ACB32">
      <w:start w:val="1"/>
      <w:numFmt w:val="upperLetter"/>
      <w:lvlText w:val="%2."/>
      <w:lvlJc w:val="left"/>
      <w:pPr>
        <w:ind w:left="1080" w:hanging="360"/>
      </w:pPr>
      <w:rPr>
        <w:b w:val="0"/>
      </w:rPr>
    </w:lvl>
    <w:lvl w:ilvl="2" w:tplc="C9100DD4">
      <w:start w:val="1"/>
      <w:numFmt w:val="decimal"/>
      <w:lvlText w:val="%3."/>
      <w:lvlJc w:val="left"/>
      <w:pPr>
        <w:ind w:left="1800" w:hanging="180"/>
      </w:pPr>
      <w:rPr>
        <w:b w:val="0"/>
      </w:rPr>
    </w:lvl>
    <w:lvl w:ilvl="3" w:tplc="306AA2F2">
      <w:start w:val="1"/>
      <w:numFmt w:val="lowerLetter"/>
      <w:lvlText w:val="%4."/>
      <w:lvlJc w:val="left"/>
      <w:pPr>
        <w:ind w:left="2520" w:hanging="360"/>
      </w:pPr>
      <w:rPr>
        <w:b w:val="0"/>
      </w:rPr>
    </w:lvl>
    <w:lvl w:ilvl="4" w:tplc="EAEAAF14">
      <w:start w:val="1"/>
      <w:numFmt w:val="lowerRoman"/>
      <w:lvlText w:val="%5."/>
      <w:lvlJc w:val="left"/>
      <w:pPr>
        <w:ind w:left="3240" w:hanging="360"/>
      </w:pPr>
      <w:rPr>
        <w:rFonts w:ascii="Times New Roman" w:eastAsia="Times New Roman" w:hAnsi="Times New Roman" w:cs="Times New Roman"/>
        <w:b w:val="0"/>
      </w:rPr>
    </w:lvl>
    <w:lvl w:ilvl="5" w:tplc="0409001B">
      <w:start w:val="1"/>
      <w:numFmt w:val="lowerRoman"/>
      <w:lvlText w:val="%6."/>
      <w:lvlJc w:val="right"/>
      <w:pPr>
        <w:ind w:left="3960" w:hanging="180"/>
      </w:pPr>
    </w:lvl>
    <w:lvl w:ilvl="6" w:tplc="3552D490">
      <w:start w:val="1"/>
      <w:numFmt w:val="upperLetter"/>
      <w:lvlText w:val="(%7)"/>
      <w:lvlJc w:val="left"/>
      <w:pPr>
        <w:ind w:left="4680" w:hanging="36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A539E5"/>
    <w:multiLevelType w:val="hybridMultilevel"/>
    <w:tmpl w:val="6ECC1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DC0D1E"/>
    <w:multiLevelType w:val="hybridMultilevel"/>
    <w:tmpl w:val="E00A8F42"/>
    <w:lvl w:ilvl="0" w:tplc="F9327B3C">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B">
      <w:start w:val="1"/>
      <w:numFmt w:val="lowerRoman"/>
      <w:lvlText w:val="%5."/>
      <w:lvlJc w:val="righ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BA"/>
    <w:rsid w:val="000124B0"/>
    <w:rsid w:val="000258C7"/>
    <w:rsid w:val="00035571"/>
    <w:rsid w:val="00046ED8"/>
    <w:rsid w:val="00047595"/>
    <w:rsid w:val="00060E68"/>
    <w:rsid w:val="000B779C"/>
    <w:rsid w:val="000C2B9D"/>
    <w:rsid w:val="000E2D42"/>
    <w:rsid w:val="000F2C4A"/>
    <w:rsid w:val="0011275D"/>
    <w:rsid w:val="0013255D"/>
    <w:rsid w:val="00134138"/>
    <w:rsid w:val="00170F46"/>
    <w:rsid w:val="00173F8A"/>
    <w:rsid w:val="0018075A"/>
    <w:rsid w:val="00181661"/>
    <w:rsid w:val="001873D3"/>
    <w:rsid w:val="001B2225"/>
    <w:rsid w:val="001C62A2"/>
    <w:rsid w:val="001D54A7"/>
    <w:rsid w:val="001D57BC"/>
    <w:rsid w:val="001D6E24"/>
    <w:rsid w:val="001D7295"/>
    <w:rsid w:val="001E154C"/>
    <w:rsid w:val="001E5160"/>
    <w:rsid w:val="001E7E41"/>
    <w:rsid w:val="001F3347"/>
    <w:rsid w:val="001F43CC"/>
    <w:rsid w:val="00202CA7"/>
    <w:rsid w:val="00212A5A"/>
    <w:rsid w:val="00240664"/>
    <w:rsid w:val="00264A3C"/>
    <w:rsid w:val="00276081"/>
    <w:rsid w:val="00280701"/>
    <w:rsid w:val="002841B8"/>
    <w:rsid w:val="00284801"/>
    <w:rsid w:val="002A2A36"/>
    <w:rsid w:val="002A3401"/>
    <w:rsid w:val="002A6462"/>
    <w:rsid w:val="002A6C1C"/>
    <w:rsid w:val="002B7B30"/>
    <w:rsid w:val="0030222C"/>
    <w:rsid w:val="003127B4"/>
    <w:rsid w:val="00324C7C"/>
    <w:rsid w:val="003505CB"/>
    <w:rsid w:val="003650EC"/>
    <w:rsid w:val="00367FBC"/>
    <w:rsid w:val="00371992"/>
    <w:rsid w:val="00374986"/>
    <w:rsid w:val="003811A5"/>
    <w:rsid w:val="00381232"/>
    <w:rsid w:val="0038545F"/>
    <w:rsid w:val="003A07CD"/>
    <w:rsid w:val="003B6503"/>
    <w:rsid w:val="003C21D4"/>
    <w:rsid w:val="003C79A1"/>
    <w:rsid w:val="003D0C0D"/>
    <w:rsid w:val="003F7D49"/>
    <w:rsid w:val="0042267C"/>
    <w:rsid w:val="0042325F"/>
    <w:rsid w:val="00431371"/>
    <w:rsid w:val="00434FD7"/>
    <w:rsid w:val="00452006"/>
    <w:rsid w:val="00456926"/>
    <w:rsid w:val="00470647"/>
    <w:rsid w:val="00487C6F"/>
    <w:rsid w:val="004A2DC8"/>
    <w:rsid w:val="004A5A18"/>
    <w:rsid w:val="004C4744"/>
    <w:rsid w:val="004D1184"/>
    <w:rsid w:val="004D5D05"/>
    <w:rsid w:val="004E0423"/>
    <w:rsid w:val="004F36F3"/>
    <w:rsid w:val="00507AD6"/>
    <w:rsid w:val="00511912"/>
    <w:rsid w:val="00513476"/>
    <w:rsid w:val="00555F0E"/>
    <w:rsid w:val="005809EA"/>
    <w:rsid w:val="00594BDB"/>
    <w:rsid w:val="005A6DD9"/>
    <w:rsid w:val="005C1C32"/>
    <w:rsid w:val="005C3BA0"/>
    <w:rsid w:val="005D06B9"/>
    <w:rsid w:val="005E335C"/>
    <w:rsid w:val="00601AC5"/>
    <w:rsid w:val="0061384F"/>
    <w:rsid w:val="0061545C"/>
    <w:rsid w:val="00623796"/>
    <w:rsid w:val="006757E2"/>
    <w:rsid w:val="00692223"/>
    <w:rsid w:val="006977B9"/>
    <w:rsid w:val="00697AA4"/>
    <w:rsid w:val="006B7538"/>
    <w:rsid w:val="006C2FFF"/>
    <w:rsid w:val="0070212D"/>
    <w:rsid w:val="00704594"/>
    <w:rsid w:val="00711F8A"/>
    <w:rsid w:val="00721D99"/>
    <w:rsid w:val="00722854"/>
    <w:rsid w:val="00724939"/>
    <w:rsid w:val="007471B0"/>
    <w:rsid w:val="00761445"/>
    <w:rsid w:val="00761CC3"/>
    <w:rsid w:val="007720F8"/>
    <w:rsid w:val="00796EC9"/>
    <w:rsid w:val="007A0BDA"/>
    <w:rsid w:val="007A3820"/>
    <w:rsid w:val="007B1410"/>
    <w:rsid w:val="007B3E54"/>
    <w:rsid w:val="007B5BD7"/>
    <w:rsid w:val="007C05A8"/>
    <w:rsid w:val="007D6B16"/>
    <w:rsid w:val="007E2D63"/>
    <w:rsid w:val="007F0B87"/>
    <w:rsid w:val="007F25C2"/>
    <w:rsid w:val="008225FA"/>
    <w:rsid w:val="0083302A"/>
    <w:rsid w:val="008338D7"/>
    <w:rsid w:val="008345C7"/>
    <w:rsid w:val="008419A9"/>
    <w:rsid w:val="00852C62"/>
    <w:rsid w:val="00854726"/>
    <w:rsid w:val="00855252"/>
    <w:rsid w:val="008574FE"/>
    <w:rsid w:val="008609ED"/>
    <w:rsid w:val="00860C29"/>
    <w:rsid w:val="00867FE0"/>
    <w:rsid w:val="008719D9"/>
    <w:rsid w:val="00875036"/>
    <w:rsid w:val="00877487"/>
    <w:rsid w:val="008825DB"/>
    <w:rsid w:val="008879E4"/>
    <w:rsid w:val="00892E26"/>
    <w:rsid w:val="0089315E"/>
    <w:rsid w:val="0089348F"/>
    <w:rsid w:val="008A3B4A"/>
    <w:rsid w:val="008A4049"/>
    <w:rsid w:val="008C2C87"/>
    <w:rsid w:val="008D3A55"/>
    <w:rsid w:val="008E0228"/>
    <w:rsid w:val="008E0DB3"/>
    <w:rsid w:val="008E1DE4"/>
    <w:rsid w:val="008E672A"/>
    <w:rsid w:val="00902199"/>
    <w:rsid w:val="00911378"/>
    <w:rsid w:val="009258F4"/>
    <w:rsid w:val="00951322"/>
    <w:rsid w:val="0096249A"/>
    <w:rsid w:val="00962A3C"/>
    <w:rsid w:val="009670B2"/>
    <w:rsid w:val="00971B72"/>
    <w:rsid w:val="0097608F"/>
    <w:rsid w:val="00976B34"/>
    <w:rsid w:val="009810EB"/>
    <w:rsid w:val="009817C9"/>
    <w:rsid w:val="00990023"/>
    <w:rsid w:val="009A1200"/>
    <w:rsid w:val="009A77CC"/>
    <w:rsid w:val="009A7BE2"/>
    <w:rsid w:val="009B53FC"/>
    <w:rsid w:val="009B64CF"/>
    <w:rsid w:val="009B7960"/>
    <w:rsid w:val="009C6FBD"/>
    <w:rsid w:val="009D76E5"/>
    <w:rsid w:val="009E3C58"/>
    <w:rsid w:val="009E543F"/>
    <w:rsid w:val="00A11B8B"/>
    <w:rsid w:val="00A20C75"/>
    <w:rsid w:val="00A2302E"/>
    <w:rsid w:val="00A3081C"/>
    <w:rsid w:val="00A4041A"/>
    <w:rsid w:val="00A4201B"/>
    <w:rsid w:val="00A501B8"/>
    <w:rsid w:val="00A65D07"/>
    <w:rsid w:val="00A813D7"/>
    <w:rsid w:val="00A86812"/>
    <w:rsid w:val="00A97A11"/>
    <w:rsid w:val="00AA1D7B"/>
    <w:rsid w:val="00AA3902"/>
    <w:rsid w:val="00AB0265"/>
    <w:rsid w:val="00AD3831"/>
    <w:rsid w:val="00AF4295"/>
    <w:rsid w:val="00B111CB"/>
    <w:rsid w:val="00B26E97"/>
    <w:rsid w:val="00B27076"/>
    <w:rsid w:val="00B27725"/>
    <w:rsid w:val="00B312E9"/>
    <w:rsid w:val="00B35592"/>
    <w:rsid w:val="00B37C48"/>
    <w:rsid w:val="00B47DBD"/>
    <w:rsid w:val="00B53D40"/>
    <w:rsid w:val="00B55800"/>
    <w:rsid w:val="00B67EC3"/>
    <w:rsid w:val="00B724FF"/>
    <w:rsid w:val="00B73866"/>
    <w:rsid w:val="00B801AE"/>
    <w:rsid w:val="00B8657D"/>
    <w:rsid w:val="00B95C5E"/>
    <w:rsid w:val="00B9607E"/>
    <w:rsid w:val="00B97DCD"/>
    <w:rsid w:val="00BC7C92"/>
    <w:rsid w:val="00BD0BA2"/>
    <w:rsid w:val="00BD16A1"/>
    <w:rsid w:val="00BD29BA"/>
    <w:rsid w:val="00BD6827"/>
    <w:rsid w:val="00BD69AE"/>
    <w:rsid w:val="00BE1897"/>
    <w:rsid w:val="00C07E3A"/>
    <w:rsid w:val="00C24E34"/>
    <w:rsid w:val="00C31C71"/>
    <w:rsid w:val="00C44408"/>
    <w:rsid w:val="00C45AA9"/>
    <w:rsid w:val="00C63C26"/>
    <w:rsid w:val="00C65B17"/>
    <w:rsid w:val="00C852D7"/>
    <w:rsid w:val="00C863A9"/>
    <w:rsid w:val="00C9129C"/>
    <w:rsid w:val="00C92EBB"/>
    <w:rsid w:val="00C96784"/>
    <w:rsid w:val="00CB6604"/>
    <w:rsid w:val="00CC67F0"/>
    <w:rsid w:val="00CD0E8E"/>
    <w:rsid w:val="00CD566C"/>
    <w:rsid w:val="00CE09C2"/>
    <w:rsid w:val="00D10C2D"/>
    <w:rsid w:val="00D3400E"/>
    <w:rsid w:val="00D404D5"/>
    <w:rsid w:val="00D40891"/>
    <w:rsid w:val="00D470D5"/>
    <w:rsid w:val="00D62107"/>
    <w:rsid w:val="00D62359"/>
    <w:rsid w:val="00D708A0"/>
    <w:rsid w:val="00D717FE"/>
    <w:rsid w:val="00D74F77"/>
    <w:rsid w:val="00D817B1"/>
    <w:rsid w:val="00D84D04"/>
    <w:rsid w:val="00D9683B"/>
    <w:rsid w:val="00DB30BA"/>
    <w:rsid w:val="00DB724C"/>
    <w:rsid w:val="00DC00F3"/>
    <w:rsid w:val="00DC4298"/>
    <w:rsid w:val="00DC5C56"/>
    <w:rsid w:val="00DE5178"/>
    <w:rsid w:val="00E047C9"/>
    <w:rsid w:val="00E054A9"/>
    <w:rsid w:val="00E07CD6"/>
    <w:rsid w:val="00E12884"/>
    <w:rsid w:val="00E13F8E"/>
    <w:rsid w:val="00E21683"/>
    <w:rsid w:val="00E23B3A"/>
    <w:rsid w:val="00E25FFF"/>
    <w:rsid w:val="00E3597B"/>
    <w:rsid w:val="00E4448B"/>
    <w:rsid w:val="00E74571"/>
    <w:rsid w:val="00E80E93"/>
    <w:rsid w:val="00E84D1C"/>
    <w:rsid w:val="00E9035A"/>
    <w:rsid w:val="00E91FE2"/>
    <w:rsid w:val="00E93C7A"/>
    <w:rsid w:val="00E95ECE"/>
    <w:rsid w:val="00EA0B62"/>
    <w:rsid w:val="00EA1B27"/>
    <w:rsid w:val="00EB6ECF"/>
    <w:rsid w:val="00EC486F"/>
    <w:rsid w:val="00ED41E3"/>
    <w:rsid w:val="00EE2776"/>
    <w:rsid w:val="00EF003F"/>
    <w:rsid w:val="00EF261D"/>
    <w:rsid w:val="00F0038D"/>
    <w:rsid w:val="00F3687D"/>
    <w:rsid w:val="00F50061"/>
    <w:rsid w:val="00F549E2"/>
    <w:rsid w:val="00F73FDF"/>
    <w:rsid w:val="00F8545D"/>
    <w:rsid w:val="00FA679D"/>
    <w:rsid w:val="00FC5CA8"/>
    <w:rsid w:val="00FC64C8"/>
    <w:rsid w:val="00FD0AE6"/>
    <w:rsid w:val="00FD1F61"/>
    <w:rsid w:val="00FE37AC"/>
    <w:rsid w:val="00FF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0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B30BA"/>
    <w:rPr>
      <w:sz w:val="16"/>
      <w:szCs w:val="16"/>
    </w:rPr>
  </w:style>
  <w:style w:type="paragraph" w:styleId="CommentText">
    <w:name w:val="annotation text"/>
    <w:basedOn w:val="Normal"/>
    <w:link w:val="CommentTextChar"/>
    <w:semiHidden/>
    <w:rsid w:val="00DB30BA"/>
    <w:rPr>
      <w:sz w:val="20"/>
      <w:szCs w:val="20"/>
    </w:rPr>
  </w:style>
  <w:style w:type="character" w:customStyle="1" w:styleId="CommentTextChar">
    <w:name w:val="Comment Text Char"/>
    <w:basedOn w:val="DefaultParagraphFont"/>
    <w:link w:val="CommentText"/>
    <w:semiHidden/>
    <w:rsid w:val="00DB30BA"/>
    <w:rPr>
      <w:rFonts w:ascii="Times New Roman" w:eastAsia="Times New Roman" w:hAnsi="Times New Roman" w:cs="Times New Roman"/>
      <w:sz w:val="20"/>
      <w:szCs w:val="20"/>
    </w:rPr>
  </w:style>
  <w:style w:type="paragraph" w:styleId="ListParagraph">
    <w:name w:val="List Paragraph"/>
    <w:basedOn w:val="Normal"/>
    <w:uiPriority w:val="99"/>
    <w:qFormat/>
    <w:rsid w:val="00DB30BA"/>
    <w:pPr>
      <w:ind w:left="720"/>
      <w:contextualSpacing/>
    </w:pPr>
  </w:style>
  <w:style w:type="table" w:styleId="TableGrid">
    <w:name w:val="Table Grid"/>
    <w:basedOn w:val="TableNormal"/>
    <w:rsid w:val="00DB30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30BA"/>
    <w:rPr>
      <w:rFonts w:ascii="Tahoma" w:hAnsi="Tahoma" w:cs="Tahoma"/>
      <w:sz w:val="16"/>
      <w:szCs w:val="16"/>
    </w:rPr>
  </w:style>
  <w:style w:type="character" w:customStyle="1" w:styleId="BalloonTextChar">
    <w:name w:val="Balloon Text Char"/>
    <w:basedOn w:val="DefaultParagraphFont"/>
    <w:link w:val="BalloonText"/>
    <w:uiPriority w:val="99"/>
    <w:semiHidden/>
    <w:rsid w:val="00DB30BA"/>
    <w:rPr>
      <w:rFonts w:ascii="Tahoma" w:eastAsia="Times New Roman" w:hAnsi="Tahoma" w:cs="Tahoma"/>
      <w:sz w:val="16"/>
      <w:szCs w:val="16"/>
    </w:rPr>
  </w:style>
  <w:style w:type="paragraph" w:styleId="Header">
    <w:name w:val="header"/>
    <w:basedOn w:val="Normal"/>
    <w:link w:val="HeaderChar"/>
    <w:uiPriority w:val="99"/>
    <w:unhideWhenUsed/>
    <w:rsid w:val="00E054A9"/>
    <w:pPr>
      <w:tabs>
        <w:tab w:val="center" w:pos="4680"/>
        <w:tab w:val="right" w:pos="9360"/>
      </w:tabs>
    </w:pPr>
  </w:style>
  <w:style w:type="character" w:customStyle="1" w:styleId="HeaderChar">
    <w:name w:val="Header Char"/>
    <w:basedOn w:val="DefaultParagraphFont"/>
    <w:link w:val="Header"/>
    <w:uiPriority w:val="99"/>
    <w:rsid w:val="00E054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54A9"/>
    <w:pPr>
      <w:tabs>
        <w:tab w:val="center" w:pos="4680"/>
        <w:tab w:val="right" w:pos="9360"/>
      </w:tabs>
    </w:pPr>
  </w:style>
  <w:style w:type="character" w:customStyle="1" w:styleId="FooterChar">
    <w:name w:val="Footer Char"/>
    <w:basedOn w:val="DefaultParagraphFont"/>
    <w:link w:val="Footer"/>
    <w:uiPriority w:val="99"/>
    <w:rsid w:val="00E054A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74F77"/>
    <w:rPr>
      <w:b/>
      <w:bCs/>
    </w:rPr>
  </w:style>
  <w:style w:type="character" w:customStyle="1" w:styleId="CommentSubjectChar">
    <w:name w:val="Comment Subject Char"/>
    <w:basedOn w:val="CommentTextChar"/>
    <w:link w:val="CommentSubject"/>
    <w:uiPriority w:val="99"/>
    <w:semiHidden/>
    <w:rsid w:val="00D74F7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A4041A"/>
    <w:rPr>
      <w:sz w:val="20"/>
      <w:szCs w:val="20"/>
    </w:rPr>
  </w:style>
  <w:style w:type="character" w:customStyle="1" w:styleId="FootnoteTextChar">
    <w:name w:val="Footnote Text Char"/>
    <w:basedOn w:val="DefaultParagraphFont"/>
    <w:link w:val="FootnoteText"/>
    <w:uiPriority w:val="99"/>
    <w:semiHidden/>
    <w:rsid w:val="00A404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4041A"/>
    <w:rPr>
      <w:vertAlign w:val="superscript"/>
    </w:rPr>
  </w:style>
  <w:style w:type="character" w:styleId="Hyperlink">
    <w:name w:val="Hyperlink"/>
    <w:basedOn w:val="DefaultParagraphFont"/>
    <w:uiPriority w:val="99"/>
    <w:unhideWhenUsed/>
    <w:rsid w:val="00B111CB"/>
    <w:rPr>
      <w:color w:val="0000FF" w:themeColor="hyperlink"/>
      <w:u w:val="single"/>
    </w:rPr>
  </w:style>
  <w:style w:type="character" w:styleId="FollowedHyperlink">
    <w:name w:val="FollowedHyperlink"/>
    <w:basedOn w:val="DefaultParagraphFont"/>
    <w:uiPriority w:val="99"/>
    <w:semiHidden/>
    <w:unhideWhenUsed/>
    <w:rsid w:val="00B1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CD2A-C38F-46D0-95D6-627A251D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Johnson-Moffet, Lilli CTR (VOLPE)</cp:lastModifiedBy>
  <cp:revision>2</cp:revision>
  <dcterms:created xsi:type="dcterms:W3CDTF">2014-04-25T15:10:00Z</dcterms:created>
  <dcterms:modified xsi:type="dcterms:W3CDTF">2014-04-25T15:10:00Z</dcterms:modified>
</cp:coreProperties>
</file>