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3FF2" w14:textId="77777777" w:rsidR="005930AA" w:rsidRDefault="005930AA" w:rsidP="00533B70">
      <w:pPr>
        <w:rPr>
          <w:rFonts w:ascii="Lucida Grande" w:hAnsi="Lucida Grande" w:cs="Lucida Grande"/>
          <w:b/>
          <w:bCs/>
          <w:color w:val="333333"/>
          <w:sz w:val="20"/>
          <w:szCs w:val="20"/>
          <w:shd w:val="clear" w:color="auto" w:fill="FFFFFF"/>
        </w:rPr>
      </w:pPr>
    </w:p>
    <w:p w14:paraId="2C88A669" w14:textId="7A13D339" w:rsidR="004F3652" w:rsidRDefault="004F3652" w:rsidP="00533B70">
      <w:pPr>
        <w:shd w:val="clear" w:color="auto" w:fill="FFFFFF"/>
        <w:jc w:val="right"/>
        <w:outlineLvl w:val="1"/>
        <w:rPr>
          <w:rFonts w:asciiTheme="minorHAnsi" w:hAnsiTheme="minorHAnsi" w:cstheme="minorHAnsi"/>
          <w:lang w:val="en"/>
        </w:rPr>
      </w:pPr>
      <w:r w:rsidRPr="004F3652">
        <w:rPr>
          <w:rFonts w:asciiTheme="minorHAnsi" w:hAnsiTheme="minorHAnsi" w:cstheme="minorHAnsi"/>
          <w:lang w:val="en"/>
        </w:rPr>
        <w:t>FMCSA-INS-387.27-Q002</w:t>
      </w:r>
      <w:r w:rsidR="00533B70">
        <w:rPr>
          <w:rFonts w:asciiTheme="minorHAnsi" w:hAnsiTheme="minorHAnsi" w:cstheme="minorHAnsi"/>
          <w:lang w:val="en"/>
        </w:rPr>
        <w:t>(2020-02-28)</w:t>
      </w:r>
      <w:r w:rsidR="00E25A32">
        <w:rPr>
          <w:rFonts w:asciiTheme="minorHAnsi" w:hAnsiTheme="minorHAnsi" w:cstheme="minorHAnsi"/>
          <w:lang w:val="en"/>
        </w:rPr>
        <w:t>-CORR1</w:t>
      </w:r>
    </w:p>
    <w:p w14:paraId="5C6EC97C" w14:textId="77777777" w:rsidR="00A02DB6" w:rsidRPr="004F3652" w:rsidRDefault="00A02DB6" w:rsidP="00533B70">
      <w:pPr>
        <w:shd w:val="clear" w:color="auto" w:fill="FFFFFF"/>
        <w:jc w:val="right"/>
        <w:outlineLvl w:val="1"/>
        <w:rPr>
          <w:rFonts w:asciiTheme="minorHAnsi" w:hAnsiTheme="minorHAnsi" w:cstheme="minorHAnsi"/>
          <w:lang w:val="en"/>
        </w:rPr>
      </w:pPr>
    </w:p>
    <w:p w14:paraId="7C50E960" w14:textId="77777777" w:rsidR="004F3652" w:rsidRPr="004F3652" w:rsidRDefault="004F3652" w:rsidP="00533B70">
      <w:pPr>
        <w:shd w:val="clear" w:color="auto" w:fill="FFFFFF"/>
        <w:jc w:val="right"/>
        <w:outlineLvl w:val="1"/>
        <w:rPr>
          <w:rFonts w:asciiTheme="minorHAnsi" w:hAnsiTheme="minorHAnsi" w:cstheme="minorHAnsi"/>
          <w:b/>
          <w:bCs/>
          <w:lang w:val="en"/>
        </w:rPr>
      </w:pPr>
    </w:p>
    <w:p w14:paraId="19BD4192" w14:textId="3E44BD92" w:rsidR="000570EE" w:rsidRPr="00A02DB6" w:rsidRDefault="000570EE" w:rsidP="00533B70">
      <w:pPr>
        <w:shd w:val="clear" w:color="auto" w:fill="FFFFFF"/>
        <w:outlineLvl w:val="1"/>
        <w:rPr>
          <w:rFonts w:asciiTheme="minorHAnsi" w:hAnsiTheme="minorHAnsi" w:cstheme="minorHAnsi"/>
          <w:b/>
          <w:bCs/>
          <w:sz w:val="28"/>
          <w:szCs w:val="28"/>
          <w:lang w:val="en"/>
        </w:rPr>
      </w:pPr>
      <w:r w:rsidRPr="00A02DB6">
        <w:rPr>
          <w:rFonts w:asciiTheme="minorHAnsi" w:hAnsiTheme="minorHAnsi" w:cstheme="minorHAnsi"/>
          <w:b/>
          <w:bCs/>
          <w:sz w:val="28"/>
          <w:szCs w:val="28"/>
          <w:lang w:val="en"/>
        </w:rPr>
        <w:t>Part 38</w:t>
      </w:r>
      <w:r w:rsidR="000A7D47" w:rsidRPr="00A02DB6">
        <w:rPr>
          <w:rFonts w:asciiTheme="minorHAnsi" w:hAnsiTheme="minorHAnsi" w:cstheme="minorHAnsi"/>
          <w:b/>
          <w:bCs/>
          <w:sz w:val="28"/>
          <w:szCs w:val="28"/>
          <w:lang w:val="en"/>
        </w:rPr>
        <w:t>7</w:t>
      </w:r>
    </w:p>
    <w:p w14:paraId="6E295557" w14:textId="77777777" w:rsidR="00533B70" w:rsidRPr="00A02DB6" w:rsidRDefault="00533B70" w:rsidP="00533B70">
      <w:pPr>
        <w:shd w:val="clear" w:color="auto" w:fill="FFFFFF"/>
        <w:outlineLvl w:val="1"/>
        <w:rPr>
          <w:rFonts w:asciiTheme="minorHAnsi" w:hAnsiTheme="minorHAnsi" w:cstheme="minorHAnsi"/>
          <w:b/>
          <w:bCs/>
          <w:sz w:val="28"/>
          <w:szCs w:val="28"/>
          <w:lang w:val="en"/>
        </w:rPr>
      </w:pPr>
    </w:p>
    <w:p w14:paraId="7440A055" w14:textId="3B93D6BF" w:rsidR="00445121" w:rsidRPr="00A02DB6" w:rsidRDefault="00E2479D" w:rsidP="00533B70">
      <w:pPr>
        <w:shd w:val="clear" w:color="auto" w:fill="FFFFFF"/>
        <w:outlineLvl w:val="1"/>
        <w:rPr>
          <w:rFonts w:asciiTheme="minorHAnsi" w:hAnsiTheme="minorHAnsi" w:cstheme="minorHAnsi"/>
          <w:b/>
          <w:bCs/>
          <w:color w:val="000000"/>
          <w:sz w:val="28"/>
          <w:szCs w:val="28"/>
        </w:rPr>
      </w:pPr>
      <w:r w:rsidRPr="00A02DB6">
        <w:rPr>
          <w:rFonts w:asciiTheme="minorHAnsi" w:hAnsiTheme="minorHAnsi" w:cstheme="minorHAnsi"/>
          <w:b/>
          <w:bCs/>
          <w:color w:val="000000"/>
          <w:sz w:val="28"/>
          <w:szCs w:val="28"/>
        </w:rPr>
        <w:t xml:space="preserve">Section § </w:t>
      </w:r>
      <w:r w:rsidR="001C6990" w:rsidRPr="00A02DB6">
        <w:rPr>
          <w:rFonts w:asciiTheme="minorHAnsi" w:hAnsiTheme="minorHAnsi" w:cstheme="minorHAnsi"/>
          <w:b/>
          <w:bCs/>
          <w:color w:val="000000"/>
          <w:sz w:val="28"/>
          <w:szCs w:val="28"/>
        </w:rPr>
        <w:t>387.</w:t>
      </w:r>
      <w:r w:rsidR="001730C1" w:rsidRPr="00A02DB6">
        <w:rPr>
          <w:rFonts w:asciiTheme="minorHAnsi" w:hAnsiTheme="minorHAnsi" w:cstheme="minorHAnsi"/>
          <w:b/>
          <w:bCs/>
          <w:color w:val="000000"/>
          <w:sz w:val="28"/>
          <w:szCs w:val="28"/>
        </w:rPr>
        <w:t>27: Applicability</w:t>
      </w:r>
      <w:r w:rsidR="000570EE" w:rsidRPr="00A02DB6">
        <w:rPr>
          <w:rFonts w:asciiTheme="minorHAnsi" w:hAnsiTheme="minorHAnsi" w:cstheme="minorHAnsi"/>
          <w:b/>
          <w:bCs/>
          <w:color w:val="000000"/>
          <w:sz w:val="28"/>
          <w:szCs w:val="28"/>
        </w:rPr>
        <w:t>.</w:t>
      </w:r>
    </w:p>
    <w:p w14:paraId="31A22FA9" w14:textId="77777777" w:rsidR="00533B70" w:rsidRPr="00A02DB6" w:rsidRDefault="00533B70" w:rsidP="00533B70">
      <w:pPr>
        <w:shd w:val="clear" w:color="auto" w:fill="FFFFFF"/>
        <w:outlineLvl w:val="1"/>
        <w:rPr>
          <w:rFonts w:asciiTheme="minorHAnsi" w:hAnsiTheme="minorHAnsi" w:cstheme="minorHAnsi"/>
          <w:color w:val="000000"/>
          <w:sz w:val="28"/>
          <w:szCs w:val="28"/>
          <w:shd w:val="clear" w:color="auto" w:fill="FFFFFF"/>
        </w:rPr>
      </w:pPr>
    </w:p>
    <w:p w14:paraId="5624BEF6" w14:textId="360B2ACE" w:rsidR="00C07DBF" w:rsidRPr="00A02DB6" w:rsidRDefault="00445121" w:rsidP="00533B70">
      <w:pPr>
        <w:pStyle w:val="Heading2"/>
        <w:spacing w:before="0" w:beforeAutospacing="0" w:after="0" w:afterAutospacing="0"/>
        <w:rPr>
          <w:rFonts w:asciiTheme="minorHAnsi" w:hAnsiTheme="minorHAnsi" w:cstheme="minorHAnsi"/>
          <w:color w:val="000000"/>
          <w:sz w:val="28"/>
          <w:szCs w:val="28"/>
        </w:rPr>
      </w:pPr>
      <w:r w:rsidRPr="00A02DB6">
        <w:rPr>
          <w:rFonts w:asciiTheme="minorHAnsi" w:hAnsiTheme="minorHAnsi" w:cstheme="minorHAnsi"/>
          <w:color w:val="000000"/>
          <w:sz w:val="28"/>
          <w:szCs w:val="28"/>
        </w:rPr>
        <w:t>Guidance Q&amp;A</w:t>
      </w:r>
    </w:p>
    <w:p w14:paraId="6575F474" w14:textId="77777777" w:rsidR="00533B70" w:rsidRPr="004F3652" w:rsidRDefault="00533B70" w:rsidP="00533B70">
      <w:pPr>
        <w:pStyle w:val="Heading2"/>
        <w:spacing w:before="0" w:beforeAutospacing="0" w:after="0" w:afterAutospacing="0"/>
        <w:rPr>
          <w:rFonts w:asciiTheme="minorHAnsi" w:hAnsiTheme="minorHAnsi" w:cstheme="minorHAnsi"/>
          <w:b w:val="0"/>
          <w:bCs w:val="0"/>
          <w:color w:val="000000"/>
          <w:sz w:val="24"/>
          <w:szCs w:val="24"/>
        </w:rPr>
      </w:pPr>
    </w:p>
    <w:p w14:paraId="20D2B22B" w14:textId="792FFB40" w:rsidR="00837E49" w:rsidRDefault="00C07DBF" w:rsidP="00533B70">
      <w:pPr>
        <w:shd w:val="clear" w:color="auto" w:fill="FFFFFF"/>
        <w:rPr>
          <w:rFonts w:asciiTheme="minorHAnsi" w:hAnsiTheme="minorHAnsi" w:cstheme="minorHAnsi"/>
          <w:b/>
          <w:bCs/>
          <w:color w:val="000000"/>
        </w:rPr>
      </w:pPr>
      <w:r w:rsidRPr="004F3652">
        <w:rPr>
          <w:rFonts w:asciiTheme="minorHAnsi" w:hAnsiTheme="minorHAnsi" w:cstheme="minorHAnsi"/>
          <w:b/>
          <w:bCs/>
          <w:color w:val="000000"/>
        </w:rPr>
        <w:t xml:space="preserve">Question </w:t>
      </w:r>
      <w:r w:rsidR="00545BE3" w:rsidRPr="004F3652">
        <w:rPr>
          <w:rFonts w:asciiTheme="minorHAnsi" w:hAnsiTheme="minorHAnsi" w:cstheme="minorHAnsi"/>
          <w:b/>
          <w:bCs/>
          <w:color w:val="000000"/>
        </w:rPr>
        <w:t>2</w:t>
      </w:r>
      <w:r w:rsidRPr="004F3652">
        <w:rPr>
          <w:rFonts w:asciiTheme="minorHAnsi" w:hAnsiTheme="minorHAnsi" w:cstheme="minorHAnsi"/>
          <w:b/>
          <w:bCs/>
          <w:color w:val="000000"/>
        </w:rPr>
        <w:t xml:space="preserve">: </w:t>
      </w:r>
      <w:r w:rsidR="00545BE3" w:rsidRPr="00533B70">
        <w:rPr>
          <w:rFonts w:asciiTheme="minorHAnsi" w:hAnsiTheme="minorHAnsi" w:cstheme="minorHAnsi"/>
          <w:color w:val="000000"/>
        </w:rPr>
        <w:t>What determines the level of coverage required for a passenger carrier: the number of passengers or the number of seats in the vehicle</w:t>
      </w:r>
      <w:r w:rsidR="00093F59" w:rsidRPr="00533B70">
        <w:rPr>
          <w:rFonts w:asciiTheme="minorHAnsi" w:hAnsiTheme="minorHAnsi" w:cstheme="minorHAnsi"/>
          <w:color w:val="000000"/>
        </w:rPr>
        <w:t>?</w:t>
      </w:r>
    </w:p>
    <w:p w14:paraId="40C6C2C8" w14:textId="77777777" w:rsidR="00533B70" w:rsidRPr="004F3652" w:rsidRDefault="00533B70" w:rsidP="00533B70">
      <w:pPr>
        <w:shd w:val="clear" w:color="auto" w:fill="FFFFFF"/>
        <w:rPr>
          <w:rFonts w:asciiTheme="minorHAnsi" w:hAnsiTheme="minorHAnsi" w:cstheme="minorHAnsi"/>
          <w:b/>
          <w:bCs/>
          <w:color w:val="000000"/>
        </w:rPr>
      </w:pPr>
    </w:p>
    <w:p w14:paraId="24C3D840" w14:textId="242B484D" w:rsidR="00481C7F" w:rsidRDefault="00C07DBF" w:rsidP="00533B70">
      <w:pPr>
        <w:shd w:val="clear" w:color="auto" w:fill="FFFFFF"/>
        <w:rPr>
          <w:rFonts w:asciiTheme="minorHAnsi" w:hAnsiTheme="minorHAnsi" w:cstheme="minorHAnsi"/>
          <w:bCs/>
          <w:color w:val="000000"/>
        </w:rPr>
      </w:pPr>
      <w:r w:rsidRPr="004F3652">
        <w:rPr>
          <w:rFonts w:asciiTheme="minorHAnsi" w:hAnsiTheme="minorHAnsi" w:cstheme="minorHAnsi"/>
          <w:b/>
          <w:bCs/>
          <w:color w:val="000000"/>
        </w:rPr>
        <w:t>Guidance:</w:t>
      </w:r>
      <w:r w:rsidR="00E2479D" w:rsidRPr="004F3652">
        <w:rPr>
          <w:rFonts w:asciiTheme="minorHAnsi" w:hAnsiTheme="minorHAnsi" w:cstheme="minorHAnsi"/>
        </w:rPr>
        <w:t xml:space="preserve"> </w:t>
      </w:r>
      <w:r w:rsidR="00545BE3" w:rsidRPr="004F3652">
        <w:rPr>
          <w:rFonts w:asciiTheme="minorHAnsi" w:hAnsiTheme="minorHAnsi" w:cstheme="minorHAnsi"/>
          <w:bCs/>
          <w:color w:val="000000"/>
        </w:rPr>
        <w:t xml:space="preserve">The level of financial responsibility required is predicated upon the manufacturer’s designed seating capacity, not on the number of passengers riding in the vehicle at a particular time. The minimum levels of financial responsibility required for </w:t>
      </w:r>
      <w:r w:rsidR="004F3652" w:rsidRPr="004F3652">
        <w:rPr>
          <w:rFonts w:asciiTheme="minorHAnsi" w:hAnsiTheme="minorHAnsi" w:cstheme="minorHAnsi"/>
          <w:bCs/>
          <w:color w:val="000000"/>
        </w:rPr>
        <w:t>various seating capacities are found in § 387.33T.</w:t>
      </w:r>
    </w:p>
    <w:p w14:paraId="2B817D0D" w14:textId="77777777" w:rsidR="00533B70" w:rsidRPr="004F3652" w:rsidRDefault="00533B70" w:rsidP="00533B70">
      <w:pPr>
        <w:shd w:val="clear" w:color="auto" w:fill="FFFFFF"/>
        <w:rPr>
          <w:rFonts w:asciiTheme="minorHAnsi" w:hAnsiTheme="minorHAnsi" w:cstheme="minorHAnsi"/>
          <w:bCs/>
          <w:color w:val="000000"/>
        </w:rPr>
      </w:pPr>
    </w:p>
    <w:p w14:paraId="3D2C62A6" w14:textId="77777777" w:rsidR="00533B70" w:rsidRDefault="004F3652" w:rsidP="00533B70">
      <w:pPr>
        <w:shd w:val="clear" w:color="auto" w:fill="FFFFFF"/>
        <w:rPr>
          <w:rFonts w:asciiTheme="minorHAnsi" w:hAnsiTheme="minorHAnsi" w:cstheme="minorHAnsi"/>
          <w:bCs/>
          <w:color w:val="000000"/>
        </w:rPr>
      </w:pPr>
      <w:r w:rsidRPr="004F3652">
        <w:rPr>
          <w:rFonts w:asciiTheme="minorHAnsi" w:hAnsiTheme="minorHAnsi" w:cstheme="minorHAnsi"/>
          <w:b/>
          <w:color w:val="000000"/>
        </w:rPr>
        <w:t>Contact Info:</w:t>
      </w:r>
      <w:r w:rsidRPr="004F3652">
        <w:rPr>
          <w:rFonts w:asciiTheme="minorHAnsi" w:hAnsiTheme="minorHAnsi" w:cstheme="minorHAnsi"/>
          <w:bCs/>
          <w:color w:val="000000"/>
        </w:rPr>
        <w:t xml:space="preserve"> FMCSA Information Line, 1-800-832-5660</w:t>
      </w:r>
    </w:p>
    <w:p w14:paraId="5DFC8849" w14:textId="21A735B7" w:rsidR="004F3652" w:rsidRDefault="004F3652" w:rsidP="00533B70">
      <w:pPr>
        <w:shd w:val="clear" w:color="auto" w:fill="FFFFFF"/>
        <w:rPr>
          <w:rFonts w:asciiTheme="minorHAnsi" w:hAnsiTheme="minorHAnsi" w:cstheme="minorHAnsi"/>
          <w:bCs/>
          <w:color w:val="000000"/>
        </w:rPr>
      </w:pPr>
      <w:r w:rsidRPr="004F3652">
        <w:rPr>
          <w:rFonts w:asciiTheme="minorHAnsi" w:hAnsiTheme="minorHAnsi" w:cstheme="minorHAnsi"/>
          <w:bCs/>
          <w:color w:val="000000"/>
        </w:rPr>
        <w:t>________________________</w:t>
      </w:r>
    </w:p>
    <w:p w14:paraId="26C466BA" w14:textId="77777777" w:rsidR="00533B70" w:rsidRPr="004F3652" w:rsidRDefault="00533B70" w:rsidP="00533B70">
      <w:pPr>
        <w:shd w:val="clear" w:color="auto" w:fill="FFFFFF"/>
        <w:rPr>
          <w:rFonts w:asciiTheme="minorHAnsi" w:hAnsiTheme="minorHAnsi" w:cstheme="minorHAnsi"/>
          <w:bCs/>
          <w:color w:val="000000"/>
        </w:rPr>
      </w:pPr>
    </w:p>
    <w:p w14:paraId="6A7DFBC9" w14:textId="592AD121" w:rsidR="004F3652" w:rsidRDefault="004F3652" w:rsidP="00533B70">
      <w:pPr>
        <w:shd w:val="clear" w:color="auto" w:fill="FFFFFF"/>
        <w:rPr>
          <w:rFonts w:asciiTheme="minorHAnsi" w:hAnsiTheme="minorHAnsi" w:cstheme="minorHAnsi"/>
          <w:bCs/>
          <w:i/>
          <w:iCs/>
          <w:color w:val="000000"/>
        </w:rPr>
      </w:pPr>
      <w:r w:rsidRPr="004F3652">
        <w:rPr>
          <w:rFonts w:asciiTheme="minorHAnsi" w:hAnsiTheme="minorHAnsi" w:cstheme="minorHAnsi"/>
          <w:bCs/>
          <w:i/>
          <w:iCs/>
          <w:color w:val="000000"/>
        </w:rPr>
        <w:t>Note: This guidance document does not have the force and effect of law and is not meant to bind the public in any way.  It is intended only to provide information and clarity regarding existing requirements under the law or agency policies.</w:t>
      </w:r>
    </w:p>
    <w:p w14:paraId="5AA5C39E" w14:textId="77777777" w:rsidR="00533B70" w:rsidRPr="004F3652" w:rsidRDefault="00533B70" w:rsidP="00533B70">
      <w:pPr>
        <w:shd w:val="clear" w:color="auto" w:fill="FFFFFF"/>
        <w:rPr>
          <w:rFonts w:asciiTheme="minorHAnsi" w:hAnsiTheme="minorHAnsi" w:cstheme="minorHAnsi"/>
          <w:bCs/>
          <w:i/>
          <w:iCs/>
          <w:color w:val="000000"/>
        </w:rPr>
      </w:pPr>
    </w:p>
    <w:p w14:paraId="64F44996" w14:textId="244E5C11" w:rsidR="004F3652" w:rsidRDefault="004F3652" w:rsidP="00533B70">
      <w:pPr>
        <w:shd w:val="clear" w:color="auto" w:fill="FFFFFF"/>
        <w:rPr>
          <w:rFonts w:asciiTheme="minorHAnsi" w:hAnsiTheme="minorHAnsi" w:cstheme="minorHAnsi"/>
          <w:b/>
          <w:bCs/>
          <w:color w:val="333333"/>
        </w:rPr>
      </w:pPr>
      <w:r w:rsidRPr="004F3652">
        <w:rPr>
          <w:rFonts w:asciiTheme="minorHAnsi" w:hAnsiTheme="minorHAnsi" w:cstheme="minorHAnsi"/>
          <w:b/>
          <w:bCs/>
          <w:color w:val="333333"/>
        </w:rPr>
        <w:t>Regulatory Topic: How passenger carrier financial responsibility requirements are determined</w:t>
      </w:r>
    </w:p>
    <w:p w14:paraId="6D2EBF94" w14:textId="77777777" w:rsidR="00533B70" w:rsidRPr="004F3652" w:rsidRDefault="00533B70" w:rsidP="00533B70">
      <w:pPr>
        <w:shd w:val="clear" w:color="auto" w:fill="FFFFFF"/>
        <w:rPr>
          <w:rFonts w:asciiTheme="minorHAnsi" w:hAnsiTheme="minorHAnsi" w:cstheme="minorHAnsi"/>
          <w:b/>
          <w:bCs/>
          <w:color w:val="333333"/>
        </w:rPr>
      </w:pPr>
    </w:p>
    <w:p w14:paraId="0AB7FB34" w14:textId="357894F1" w:rsidR="004F3652" w:rsidRDefault="004F3652" w:rsidP="00533B70">
      <w:pPr>
        <w:shd w:val="clear" w:color="auto" w:fill="FFFFFF"/>
        <w:rPr>
          <w:rFonts w:asciiTheme="minorHAnsi" w:hAnsiTheme="minorHAnsi" w:cstheme="minorHAnsi"/>
          <w:color w:val="333333"/>
        </w:rPr>
      </w:pPr>
      <w:r w:rsidRPr="004F3652">
        <w:rPr>
          <w:rFonts w:asciiTheme="minorHAnsi" w:hAnsiTheme="minorHAnsi" w:cstheme="minorHAnsi"/>
          <w:color w:val="333333"/>
        </w:rPr>
        <w:t>Effective Date: Friday, February 28, 2020</w:t>
      </w:r>
    </w:p>
    <w:p w14:paraId="6DF6A4E9" w14:textId="77777777" w:rsidR="00533B70" w:rsidRPr="004F3652" w:rsidRDefault="00533B70" w:rsidP="00533B70">
      <w:pPr>
        <w:shd w:val="clear" w:color="auto" w:fill="FFFFFF"/>
        <w:rPr>
          <w:rFonts w:asciiTheme="minorHAnsi" w:hAnsiTheme="minorHAnsi" w:cstheme="minorHAnsi"/>
          <w:color w:val="333333"/>
        </w:rPr>
      </w:pPr>
    </w:p>
    <w:p w14:paraId="1AC2563D" w14:textId="4F2CA918" w:rsidR="004F3652" w:rsidRPr="004F3652" w:rsidRDefault="004F3652" w:rsidP="00533B70">
      <w:pPr>
        <w:shd w:val="clear" w:color="auto" w:fill="FFFFFF"/>
        <w:rPr>
          <w:rFonts w:asciiTheme="minorHAnsi" w:hAnsiTheme="minorHAnsi" w:cstheme="minorHAnsi"/>
          <w:color w:val="333333"/>
        </w:rPr>
      </w:pPr>
      <w:r w:rsidRPr="004F3652">
        <w:rPr>
          <w:rFonts w:asciiTheme="minorHAnsi" w:hAnsiTheme="minorHAnsi" w:cstheme="minorHAnsi"/>
          <w:color w:val="333333"/>
        </w:rPr>
        <w:t>Issued Date: Friday, February 28, 2020</w:t>
      </w:r>
    </w:p>
    <w:sectPr w:rsidR="004F3652" w:rsidRPr="004F365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04D8"/>
    <w:rsid w:val="00015A85"/>
    <w:rsid w:val="00036C6B"/>
    <w:rsid w:val="000570EE"/>
    <w:rsid w:val="00093F59"/>
    <w:rsid w:val="000A7D47"/>
    <w:rsid w:val="00135E6C"/>
    <w:rsid w:val="001416ED"/>
    <w:rsid w:val="00144588"/>
    <w:rsid w:val="001730C1"/>
    <w:rsid w:val="001B558F"/>
    <w:rsid w:val="001C1FFE"/>
    <w:rsid w:val="001C6990"/>
    <w:rsid w:val="00226002"/>
    <w:rsid w:val="00234CE0"/>
    <w:rsid w:val="002D5D65"/>
    <w:rsid w:val="003067E7"/>
    <w:rsid w:val="0030798C"/>
    <w:rsid w:val="003138F2"/>
    <w:rsid w:val="0035693D"/>
    <w:rsid w:val="00357598"/>
    <w:rsid w:val="003A0B55"/>
    <w:rsid w:val="003D0E30"/>
    <w:rsid w:val="0040553F"/>
    <w:rsid w:val="00445121"/>
    <w:rsid w:val="00470052"/>
    <w:rsid w:val="00481C7F"/>
    <w:rsid w:val="004D1D6D"/>
    <w:rsid w:val="004F13C3"/>
    <w:rsid w:val="004F3652"/>
    <w:rsid w:val="00533B70"/>
    <w:rsid w:val="005356DA"/>
    <w:rsid w:val="00545BE3"/>
    <w:rsid w:val="005930AA"/>
    <w:rsid w:val="00602CDF"/>
    <w:rsid w:val="00630A76"/>
    <w:rsid w:val="0067786F"/>
    <w:rsid w:val="006D2AED"/>
    <w:rsid w:val="007661BF"/>
    <w:rsid w:val="00782E18"/>
    <w:rsid w:val="00837E49"/>
    <w:rsid w:val="008D7A41"/>
    <w:rsid w:val="009304DE"/>
    <w:rsid w:val="0096512A"/>
    <w:rsid w:val="009F0AD3"/>
    <w:rsid w:val="00A02DB6"/>
    <w:rsid w:val="00A93F24"/>
    <w:rsid w:val="00AB09DE"/>
    <w:rsid w:val="00AF1165"/>
    <w:rsid w:val="00B55974"/>
    <w:rsid w:val="00BA4239"/>
    <w:rsid w:val="00BE5436"/>
    <w:rsid w:val="00BE7352"/>
    <w:rsid w:val="00C07DBF"/>
    <w:rsid w:val="00C40D05"/>
    <w:rsid w:val="00C87270"/>
    <w:rsid w:val="00D51AD8"/>
    <w:rsid w:val="00E2479D"/>
    <w:rsid w:val="00E25A32"/>
    <w:rsid w:val="00E33AFA"/>
    <w:rsid w:val="00E63F76"/>
    <w:rsid w:val="00EB1625"/>
    <w:rsid w:val="00EE094B"/>
    <w:rsid w:val="00F07FE7"/>
    <w:rsid w:val="00F51E54"/>
    <w:rsid w:val="00F80A2F"/>
    <w:rsid w:val="00FA343D"/>
    <w:rsid w:val="00FE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F0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FE7"/>
    <w:rPr>
      <w:rFonts w:ascii="Segoe UI" w:eastAsia="Times New Roman" w:hAnsi="Segoe UI" w:cs="Segoe UI"/>
      <w:sz w:val="18"/>
      <w:szCs w:val="18"/>
    </w:rPr>
  </w:style>
  <w:style w:type="table" w:styleId="TableGrid">
    <w:name w:val="Table Grid"/>
    <w:basedOn w:val="TableNormal"/>
    <w:uiPriority w:val="39"/>
    <w:rsid w:val="00481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10750">
      <w:bodyDiv w:val="1"/>
      <w:marLeft w:val="0"/>
      <w:marRight w:val="0"/>
      <w:marTop w:val="0"/>
      <w:marBottom w:val="0"/>
      <w:divBdr>
        <w:top w:val="none" w:sz="0" w:space="0" w:color="auto"/>
        <w:left w:val="none" w:sz="0" w:space="0" w:color="auto"/>
        <w:bottom w:val="none" w:sz="0" w:space="0" w:color="auto"/>
        <w:right w:val="none" w:sz="0" w:space="0" w:color="auto"/>
      </w:divBdr>
      <w:divsChild>
        <w:div w:id="1963727354">
          <w:marLeft w:val="0"/>
          <w:marRight w:val="0"/>
          <w:marTop w:val="0"/>
          <w:marBottom w:val="0"/>
          <w:divBdr>
            <w:top w:val="none" w:sz="0" w:space="0" w:color="auto"/>
            <w:left w:val="none" w:sz="0" w:space="0" w:color="auto"/>
            <w:bottom w:val="none" w:sz="0" w:space="0" w:color="auto"/>
            <w:right w:val="none" w:sz="0" w:space="0" w:color="auto"/>
          </w:divBdr>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2F89A1-C1CD-4077-9894-37B8E4323529}">
  <ds:schemaRefs>
    <ds:schemaRef ds:uri="http://schemas.microsoft.com/sharepoint/v3/contenttype/forms"/>
  </ds:schemaRefs>
</ds:datastoreItem>
</file>

<file path=customXml/itemProps2.xml><?xml version="1.0" encoding="utf-8"?>
<ds:datastoreItem xmlns:ds="http://schemas.openxmlformats.org/officeDocument/2006/customXml" ds:itemID="{D3AA6528-2054-4042-BEB3-B50AF326CDD0}">
  <ds:schemaRefs>
    <ds:schemaRef ds:uri="http://schemas.openxmlformats.org/officeDocument/2006/bibliography"/>
  </ds:schemaRefs>
</ds:datastoreItem>
</file>

<file path=customXml/itemProps3.xml><?xml version="1.0" encoding="utf-8"?>
<ds:datastoreItem xmlns:ds="http://schemas.openxmlformats.org/officeDocument/2006/customXml" ds:itemID="{9060B0C4-2A5E-4D0A-85FA-5032DF3E2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076F633-CAB1-48E6-AF09-EF6CA88343E6}">
  <ds:schemaRef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Winkle, Anna (FMCSA)</cp:lastModifiedBy>
  <cp:revision>5</cp:revision>
  <dcterms:created xsi:type="dcterms:W3CDTF">2022-05-23T21:30:00Z</dcterms:created>
  <dcterms:modified xsi:type="dcterms:W3CDTF">2022-05-23T22:12:00Z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