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1F60" w14:textId="26AFE6FA" w:rsidR="00185B24" w:rsidRPr="00185B24" w:rsidRDefault="00185B24" w:rsidP="00185B24">
      <w:pPr>
        <w:shd w:val="clear" w:color="auto" w:fill="FFFFFF"/>
        <w:spacing w:before="277" w:after="277"/>
        <w:jc w:val="right"/>
        <w:outlineLvl w:val="1"/>
        <w:rPr>
          <w:rFonts w:asciiTheme="minorHAnsi" w:hAnsiTheme="minorHAnsi" w:cstheme="minorHAnsi"/>
          <w:color w:val="000000"/>
        </w:rPr>
      </w:pPr>
      <w:r>
        <w:rPr>
          <w:rFonts w:asciiTheme="minorHAnsi" w:hAnsiTheme="minorHAnsi" w:cstheme="minorHAnsi"/>
          <w:color w:val="000000"/>
        </w:rPr>
        <w:t>F</w:t>
      </w:r>
      <w:r w:rsidRPr="009D2988">
        <w:rPr>
          <w:rFonts w:asciiTheme="minorHAnsi" w:hAnsiTheme="minorHAnsi" w:cstheme="minorHAnsi"/>
          <w:color w:val="000000"/>
        </w:rPr>
        <w:t>MCSA-HOS-ELD-395-FAQ</w:t>
      </w:r>
      <w:r>
        <w:rPr>
          <w:rFonts w:asciiTheme="minorHAnsi" w:hAnsiTheme="minorHAnsi" w:cstheme="minorHAnsi"/>
          <w:color w:val="000000"/>
        </w:rPr>
        <w:t>39</w:t>
      </w:r>
      <w:r w:rsidRPr="009D2988">
        <w:rPr>
          <w:rFonts w:asciiTheme="minorHAnsi" w:hAnsiTheme="minorHAnsi" w:cstheme="minorHAnsi"/>
          <w:color w:val="000000"/>
        </w:rPr>
        <w:t>(2017-03-27)-CORR1</w:t>
      </w:r>
    </w:p>
    <w:p w14:paraId="665DF9AB" w14:textId="568A20FE" w:rsidR="00185B24" w:rsidRPr="00185B24" w:rsidRDefault="00185B24" w:rsidP="00185B24">
      <w:pPr>
        <w:spacing w:after="135" w:line="239" w:lineRule="auto"/>
        <w:ind w:right="13"/>
        <w:rPr>
          <w:rFonts w:asciiTheme="minorHAnsi" w:hAnsiTheme="minorHAnsi" w:cs="Calibri"/>
          <w:bCs/>
          <w:lang w:bidi="en-US"/>
        </w:rPr>
      </w:pPr>
      <w:r>
        <w:rPr>
          <w:rFonts w:asciiTheme="minorHAnsi" w:hAnsiTheme="minorHAnsi" w:cs="Calibri"/>
          <w:b/>
          <w:lang w:bidi="en-US"/>
        </w:rPr>
        <w:t xml:space="preserve">Question: </w:t>
      </w:r>
      <w:r w:rsidRPr="00185B24">
        <w:rPr>
          <w:rFonts w:asciiTheme="minorHAnsi" w:hAnsiTheme="minorHAnsi" w:cs="Calibri"/>
          <w:bCs/>
          <w:lang w:bidi="en-US"/>
        </w:rPr>
        <w:t xml:space="preserve">Are there specific categories of supporting documents that drivers are not required to physically retain? </w:t>
      </w:r>
    </w:p>
    <w:p w14:paraId="3E3FFB40" w14:textId="23FF5489" w:rsidR="00185B24" w:rsidRDefault="00185B24" w:rsidP="00185B24">
      <w:pPr>
        <w:spacing w:after="135" w:line="239" w:lineRule="auto"/>
        <w:ind w:right="13"/>
        <w:rPr>
          <w:rFonts w:asciiTheme="minorHAnsi" w:hAnsiTheme="minorHAnsi" w:cs="Calibri"/>
          <w:lang w:bidi="en-US"/>
        </w:rPr>
      </w:pPr>
      <w:r w:rsidRPr="00185B24">
        <w:rPr>
          <w:rFonts w:asciiTheme="minorHAnsi" w:hAnsiTheme="minorHAnsi" w:cs="Calibri"/>
          <w:b/>
          <w:bCs/>
          <w:lang w:bidi="en-US"/>
        </w:rPr>
        <w:t>Guidance:</w:t>
      </w:r>
      <w:r>
        <w:rPr>
          <w:rFonts w:asciiTheme="minorHAnsi" w:hAnsiTheme="minorHAnsi" w:cs="Calibri"/>
          <w:lang w:bidi="en-US"/>
        </w:rPr>
        <w:t xml:space="preserve"> </w:t>
      </w:r>
      <w:r w:rsidRPr="00185B24">
        <w:rPr>
          <w:rFonts w:asciiTheme="minorHAnsi" w:hAnsiTheme="minorHAnsi" w:cs="Calibri"/>
          <w:lang w:bidi="en-US"/>
        </w:rPr>
        <w:t xml:space="preserve">Two categories of supporting documents—electronic mobile communications and payroll records—are not documents a driver would have to physically retain. These types of documents may be part of a larger record that the carrier retains electronically or physically at the dispatch location or principal place of business. Under 49 CFR </w:t>
      </w:r>
      <w:hyperlink r:id="rId11" w:anchor="p-395.11(d)(2)" w:history="1">
        <w:r w:rsidRPr="00185B24">
          <w:rPr>
            <w:rStyle w:val="Hyperlink"/>
            <w:rFonts w:asciiTheme="minorHAnsi" w:hAnsiTheme="minorHAnsi" w:cs="Calibri"/>
            <w:lang w:bidi="en-US"/>
          </w:rPr>
          <w:t>395.11(d)(2)</w:t>
        </w:r>
      </w:hyperlink>
      <w:r w:rsidRPr="00185B24">
        <w:rPr>
          <w:rFonts w:asciiTheme="minorHAnsi" w:hAnsiTheme="minorHAnsi" w:cs="Calibri"/>
          <w:lang w:bidi="en-US"/>
        </w:rPr>
        <w:t>, all information in an electronic mobile communication record will be counted as one document per duty day.</w:t>
      </w:r>
    </w:p>
    <w:p w14:paraId="44D7F8BC" w14:textId="77777777" w:rsidR="003939D3" w:rsidRPr="008E6B2F" w:rsidRDefault="003939D3" w:rsidP="003939D3">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2C6E1BAA" w14:textId="77777777" w:rsidR="003939D3" w:rsidRPr="008E6B2F" w:rsidRDefault="003939D3" w:rsidP="003939D3">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17281AA8" w14:textId="77777777" w:rsidR="003939D3" w:rsidRPr="008E6B2F" w:rsidRDefault="003939D3" w:rsidP="003939D3">
      <w:pPr>
        <w:rPr>
          <w:rFonts w:asciiTheme="minorHAnsi" w:hAnsiTheme="minorHAnsi" w:cstheme="minorHAnsi"/>
          <w:i/>
          <w:iCs/>
          <w:color w:val="000000" w:themeColor="text1"/>
        </w:rPr>
      </w:pPr>
    </w:p>
    <w:p w14:paraId="789366F6" w14:textId="77777777" w:rsidR="003939D3" w:rsidRPr="008E6B2F" w:rsidRDefault="003939D3" w:rsidP="003939D3">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49E1D398" w14:textId="77777777" w:rsidR="003939D3" w:rsidRPr="008E6B2F" w:rsidRDefault="003939D3" w:rsidP="003939D3">
      <w:pPr>
        <w:rPr>
          <w:rFonts w:asciiTheme="minorHAnsi" w:hAnsiTheme="minorHAnsi" w:cstheme="minorHAnsi"/>
          <w:b/>
          <w:bCs/>
          <w:color w:val="333333"/>
          <w:shd w:val="clear" w:color="auto" w:fill="FFFFFF"/>
        </w:rPr>
      </w:pPr>
    </w:p>
    <w:p w14:paraId="777F3B2B" w14:textId="77777777" w:rsidR="003939D3" w:rsidRPr="008E6B2F" w:rsidRDefault="003939D3" w:rsidP="003939D3">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670DCF5D" w14:textId="77777777" w:rsidR="003939D3" w:rsidRPr="008E6B2F" w:rsidRDefault="003939D3" w:rsidP="003939D3">
      <w:pPr>
        <w:shd w:val="clear" w:color="auto" w:fill="FFFFFF"/>
        <w:rPr>
          <w:rFonts w:asciiTheme="minorHAnsi" w:hAnsiTheme="minorHAnsi" w:cstheme="minorHAnsi"/>
          <w:color w:val="212529"/>
        </w:rPr>
      </w:pPr>
    </w:p>
    <w:p w14:paraId="17D90E9C" w14:textId="77777777" w:rsidR="003939D3" w:rsidRDefault="003939D3" w:rsidP="003939D3">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9D2988">
        <w:rPr>
          <w:rFonts w:asciiTheme="minorHAnsi" w:hAnsiTheme="minorHAnsi" w:cstheme="minorHAnsi"/>
          <w:color w:val="212529"/>
        </w:rPr>
        <w:t>Monday, March 27, 2017</w:t>
      </w:r>
    </w:p>
    <w:p w14:paraId="7D1238C1" w14:textId="77777777" w:rsidR="003939D3" w:rsidRPr="008E6B2F" w:rsidRDefault="003939D3" w:rsidP="003939D3">
      <w:pPr>
        <w:shd w:val="clear" w:color="auto" w:fill="FFFFFF"/>
        <w:rPr>
          <w:rFonts w:asciiTheme="minorHAnsi" w:hAnsiTheme="minorHAnsi" w:cstheme="minorHAnsi"/>
          <w:color w:val="212529"/>
        </w:rPr>
      </w:pPr>
    </w:p>
    <w:p w14:paraId="155AC9F7" w14:textId="6DA87890" w:rsidR="003939D3" w:rsidRPr="00185B24" w:rsidRDefault="003939D3" w:rsidP="003939D3">
      <w:pPr>
        <w:shd w:val="clear" w:color="auto" w:fill="FFFFFF"/>
        <w:rPr>
          <w:rFonts w:asciiTheme="minorHAnsi" w:hAnsiTheme="minorHAnsi" w:cstheme="minorHAnsi"/>
          <w:color w:val="000000"/>
        </w:rPr>
      </w:pPr>
      <w:r w:rsidRPr="008E6B2F">
        <w:rPr>
          <w:rFonts w:asciiTheme="minorHAnsi" w:hAnsiTheme="minorHAnsi" w:cstheme="minorHAnsi"/>
          <w:color w:val="212529"/>
        </w:rPr>
        <w:t xml:space="preserve">Issued Date: </w:t>
      </w:r>
      <w:r w:rsidRPr="009D2988">
        <w:rPr>
          <w:rFonts w:asciiTheme="minorHAnsi" w:hAnsiTheme="minorHAnsi" w:cstheme="minorHAnsi"/>
          <w:color w:val="212529"/>
        </w:rPr>
        <w:t>Monday, March 27, 2017</w:t>
      </w:r>
    </w:p>
    <w:p w14:paraId="17E9CD2E" w14:textId="5EAAEB26" w:rsidR="00AC3221" w:rsidRDefault="00AC3221" w:rsidP="00383121">
      <w:pPr>
        <w:spacing w:after="135" w:line="239" w:lineRule="auto"/>
        <w:ind w:right="13"/>
      </w:pPr>
    </w:p>
    <w:sectPr w:rsidR="00AC3221"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393A" w14:textId="77777777" w:rsidR="00185B24" w:rsidRDefault="00185B24" w:rsidP="00185B24">
      <w:r>
        <w:separator/>
      </w:r>
    </w:p>
  </w:endnote>
  <w:endnote w:type="continuationSeparator" w:id="0">
    <w:p w14:paraId="0A6399B7" w14:textId="77777777" w:rsidR="00185B24" w:rsidRDefault="00185B24" w:rsidP="0018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7D7A" w14:textId="77777777" w:rsidR="00185B24" w:rsidRDefault="00185B24" w:rsidP="00185B24">
      <w:r>
        <w:separator/>
      </w:r>
    </w:p>
  </w:footnote>
  <w:footnote w:type="continuationSeparator" w:id="0">
    <w:p w14:paraId="1DC66D8F" w14:textId="77777777" w:rsidR="00185B24" w:rsidRDefault="00185B24" w:rsidP="0018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461A" w14:textId="1754B826" w:rsidR="00185B24" w:rsidRDefault="00185B24">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617704">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23C61282" w14:textId="77777777" w:rsidR="00185B24" w:rsidRDefault="0018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B630B"/>
    <w:rsid w:val="0011290D"/>
    <w:rsid w:val="00135E6C"/>
    <w:rsid w:val="00185B24"/>
    <w:rsid w:val="001C1FFE"/>
    <w:rsid w:val="001C2055"/>
    <w:rsid w:val="001C5252"/>
    <w:rsid w:val="0024362F"/>
    <w:rsid w:val="002A09E0"/>
    <w:rsid w:val="002C0AD9"/>
    <w:rsid w:val="002D5D65"/>
    <w:rsid w:val="0033236D"/>
    <w:rsid w:val="003415CA"/>
    <w:rsid w:val="00383121"/>
    <w:rsid w:val="003939D3"/>
    <w:rsid w:val="0040553F"/>
    <w:rsid w:val="0042375C"/>
    <w:rsid w:val="00434AF3"/>
    <w:rsid w:val="00445121"/>
    <w:rsid w:val="00482481"/>
    <w:rsid w:val="004C011F"/>
    <w:rsid w:val="00533F56"/>
    <w:rsid w:val="005930AA"/>
    <w:rsid w:val="00617704"/>
    <w:rsid w:val="00630A76"/>
    <w:rsid w:val="0065297A"/>
    <w:rsid w:val="0067786F"/>
    <w:rsid w:val="006F3F5D"/>
    <w:rsid w:val="006F7368"/>
    <w:rsid w:val="0070514D"/>
    <w:rsid w:val="007374F4"/>
    <w:rsid w:val="007445B5"/>
    <w:rsid w:val="007C1A48"/>
    <w:rsid w:val="00814DB2"/>
    <w:rsid w:val="008213B6"/>
    <w:rsid w:val="0087430F"/>
    <w:rsid w:val="008B383F"/>
    <w:rsid w:val="008C4B3D"/>
    <w:rsid w:val="008E1CA0"/>
    <w:rsid w:val="00917937"/>
    <w:rsid w:val="009304DE"/>
    <w:rsid w:val="00955978"/>
    <w:rsid w:val="009F2EDB"/>
    <w:rsid w:val="00A93F24"/>
    <w:rsid w:val="00AC3221"/>
    <w:rsid w:val="00AE58DD"/>
    <w:rsid w:val="00AF1165"/>
    <w:rsid w:val="00B37980"/>
    <w:rsid w:val="00B417FB"/>
    <w:rsid w:val="00B55974"/>
    <w:rsid w:val="00B70D5D"/>
    <w:rsid w:val="00BE7352"/>
    <w:rsid w:val="00C01EFF"/>
    <w:rsid w:val="00C07DBF"/>
    <w:rsid w:val="00D67544"/>
    <w:rsid w:val="00D95EE2"/>
    <w:rsid w:val="00DA77D8"/>
    <w:rsid w:val="00DC64C0"/>
    <w:rsid w:val="00EB1625"/>
    <w:rsid w:val="00EC1FAC"/>
    <w:rsid w:val="00EE094B"/>
    <w:rsid w:val="00F2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B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B24"/>
    <w:pPr>
      <w:tabs>
        <w:tab w:val="center" w:pos="4680"/>
        <w:tab w:val="right" w:pos="9360"/>
      </w:tabs>
    </w:pPr>
  </w:style>
  <w:style w:type="character" w:customStyle="1" w:styleId="HeaderChar">
    <w:name w:val="Header Char"/>
    <w:basedOn w:val="DefaultParagraphFont"/>
    <w:link w:val="Header"/>
    <w:uiPriority w:val="99"/>
    <w:rsid w:val="00185B24"/>
    <w:rPr>
      <w:rFonts w:ascii="Times New Roman" w:eastAsia="Times New Roman" w:hAnsi="Times New Roman" w:cs="Times New Roman"/>
    </w:rPr>
  </w:style>
  <w:style w:type="paragraph" w:styleId="Footer">
    <w:name w:val="footer"/>
    <w:basedOn w:val="Normal"/>
    <w:link w:val="FooterChar"/>
    <w:uiPriority w:val="99"/>
    <w:unhideWhenUsed/>
    <w:rsid w:val="00185B24"/>
    <w:pPr>
      <w:tabs>
        <w:tab w:val="center" w:pos="4680"/>
        <w:tab w:val="right" w:pos="9360"/>
      </w:tabs>
    </w:pPr>
  </w:style>
  <w:style w:type="character" w:customStyle="1" w:styleId="FooterChar">
    <w:name w:val="Footer Char"/>
    <w:basedOn w:val="DefaultParagraphFont"/>
    <w:link w:val="Footer"/>
    <w:uiPriority w:val="99"/>
    <w:rsid w:val="00185B2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8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169D151-B9B3-48BF-B431-3A06D51138DA}">
  <ds:schemaRefs>
    <ds:schemaRef ds:uri="http://schemas.openxmlformats.org/officeDocument/2006/bibliography"/>
  </ds:schemaRefs>
</ds:datastoreItem>
</file>

<file path=customXml/itemProps2.xml><?xml version="1.0" encoding="utf-8"?>
<ds:datastoreItem xmlns:ds="http://schemas.openxmlformats.org/officeDocument/2006/customXml" ds:itemID="{3796C1E1-3CF4-4E1E-B368-99B1FA04C697}"/>
</file>

<file path=customXml/itemProps3.xml><?xml version="1.0" encoding="utf-8"?>
<ds:datastoreItem xmlns:ds="http://schemas.openxmlformats.org/officeDocument/2006/customXml" ds:itemID="{8428FC18-AC1C-40F1-B009-D6D1C04DE15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CCFE6A4C-199D-4C91-80CA-AA92DA3EC12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2022-03-15T18:56:00Z</dcterms:created>
  <dcterms:modified xsi:type="dcterms:W3CDTF">2022-03-21T18:18:00Z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