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7E6B7" w14:textId="075BC7FB" w:rsidR="00D75A9A" w:rsidRPr="002B674D" w:rsidRDefault="0051045A" w:rsidP="002B674D">
      <w:pPr>
        <w:spacing w:after="0" w:line="240" w:lineRule="auto"/>
        <w:jc w:val="right"/>
        <w:rPr>
          <w:rFonts w:eastAsia="Calibri" w:cstheme="minorHAnsi"/>
          <w:b/>
          <w:bCs/>
          <w:sz w:val="24"/>
          <w:szCs w:val="24"/>
        </w:rPr>
      </w:pPr>
      <w:r w:rsidRPr="0051045A">
        <w:rPr>
          <w:rFonts w:eastAsia="Calibri" w:cstheme="minorHAnsi"/>
          <w:sz w:val="24"/>
          <w:szCs w:val="24"/>
        </w:rPr>
        <w:t>FMCSA-ELDT-WHISTLEBLOWER-COERCION-FAQ01(2022-03-09)</w:t>
      </w:r>
    </w:p>
    <w:p w14:paraId="716E5F7B" w14:textId="77777777" w:rsidR="0051045A" w:rsidRPr="0051045A" w:rsidRDefault="0051045A" w:rsidP="002B674D">
      <w:pPr>
        <w:spacing w:after="0" w:line="240" w:lineRule="auto"/>
        <w:rPr>
          <w:rFonts w:eastAsia="Calibri" w:cstheme="minorHAnsi"/>
          <w:b/>
          <w:bCs/>
          <w:sz w:val="24"/>
          <w:szCs w:val="24"/>
        </w:rPr>
      </w:pPr>
    </w:p>
    <w:p w14:paraId="590EEBF6" w14:textId="77777777" w:rsidR="0051045A" w:rsidRDefault="0051045A" w:rsidP="0051045A">
      <w:pPr>
        <w:spacing w:after="0" w:line="240" w:lineRule="auto"/>
        <w:rPr>
          <w:rFonts w:eastAsia="Calibri" w:cstheme="minorHAnsi"/>
          <w:b/>
          <w:bCs/>
          <w:sz w:val="24"/>
          <w:szCs w:val="24"/>
        </w:rPr>
      </w:pPr>
    </w:p>
    <w:p w14:paraId="2C4F77B9" w14:textId="45136DDC" w:rsidR="0051045A" w:rsidRPr="0051045A" w:rsidRDefault="0051045A" w:rsidP="002B674D">
      <w:pPr>
        <w:spacing w:after="0" w:line="240" w:lineRule="auto"/>
        <w:rPr>
          <w:rFonts w:eastAsia="Calibri" w:cstheme="minorHAnsi"/>
          <w:b/>
          <w:bCs/>
          <w:sz w:val="24"/>
          <w:szCs w:val="24"/>
        </w:rPr>
      </w:pPr>
      <w:r w:rsidRPr="0051045A">
        <w:rPr>
          <w:rFonts w:eastAsia="Calibri" w:cstheme="minorHAnsi"/>
          <w:b/>
          <w:bCs/>
          <w:sz w:val="24"/>
          <w:szCs w:val="24"/>
        </w:rPr>
        <w:t>Question 1</w:t>
      </w:r>
      <w:r w:rsidR="00637C8A" w:rsidRPr="002B674D">
        <w:rPr>
          <w:rFonts w:eastAsia="Calibri" w:cstheme="minorHAnsi"/>
          <w:b/>
          <w:bCs/>
          <w:sz w:val="24"/>
          <w:szCs w:val="24"/>
        </w:rPr>
        <w:t>:</w:t>
      </w:r>
      <w:r w:rsidR="00637C8A" w:rsidRPr="002B674D">
        <w:rPr>
          <w:rFonts w:eastAsia="Calibri" w:cstheme="minorHAnsi"/>
          <w:sz w:val="24"/>
          <w:szCs w:val="24"/>
        </w:rPr>
        <w:t xml:space="preserve"> </w:t>
      </w:r>
      <w:r w:rsidRPr="002B674D">
        <w:rPr>
          <w:rFonts w:eastAsia="Calibri" w:cstheme="minorHAnsi"/>
          <w:sz w:val="24"/>
          <w:szCs w:val="24"/>
        </w:rPr>
        <w:t xml:space="preserve">ELDT theory training for the Class A and Class B CDL includes a unit of instruction covering whistleblower and coercion protections for CMV drivers. Are drivers protected from retaliation for reporting sexual harassment, sexual </w:t>
      </w:r>
      <w:proofErr w:type="gramStart"/>
      <w:r w:rsidRPr="002B674D">
        <w:rPr>
          <w:rFonts w:eastAsia="Calibri" w:cstheme="minorHAnsi"/>
          <w:sz w:val="24"/>
          <w:szCs w:val="24"/>
        </w:rPr>
        <w:t>assault</w:t>
      </w:r>
      <w:proofErr w:type="gramEnd"/>
      <w:r w:rsidRPr="002B674D">
        <w:rPr>
          <w:rFonts w:eastAsia="Calibri" w:cstheme="minorHAnsi"/>
          <w:sz w:val="24"/>
          <w:szCs w:val="24"/>
        </w:rPr>
        <w:t xml:space="preserve"> and threats of assault or for refusing to drive a CMV that is unsafe?</w:t>
      </w:r>
    </w:p>
    <w:p w14:paraId="54BE1687" w14:textId="77777777" w:rsidR="0051045A" w:rsidRPr="002B674D" w:rsidRDefault="0051045A" w:rsidP="002B674D">
      <w:pPr>
        <w:spacing w:after="0" w:line="240" w:lineRule="auto"/>
        <w:rPr>
          <w:rFonts w:eastAsia="Calibri" w:cstheme="minorHAnsi"/>
          <w:sz w:val="24"/>
          <w:szCs w:val="24"/>
        </w:rPr>
      </w:pPr>
    </w:p>
    <w:p w14:paraId="1CB89D8A" w14:textId="77777777" w:rsidR="002B674D" w:rsidRDefault="00637C8A">
      <w:pPr>
        <w:spacing w:after="0" w:line="240" w:lineRule="auto"/>
        <w:rPr>
          <w:sz w:val="24"/>
          <w:szCs w:val="24"/>
        </w:rPr>
      </w:pPr>
      <w:r w:rsidRPr="002B674D">
        <w:rPr>
          <w:rFonts w:eastAsia="Calibri" w:cstheme="minorHAnsi"/>
          <w:b/>
          <w:bCs/>
          <w:sz w:val="24"/>
          <w:szCs w:val="24"/>
        </w:rPr>
        <w:t>Guidance</w:t>
      </w:r>
      <w:r w:rsidRPr="002B674D">
        <w:rPr>
          <w:rFonts w:eastAsia="Calibri" w:cstheme="minorHAnsi"/>
          <w:sz w:val="24"/>
          <w:szCs w:val="24"/>
        </w:rPr>
        <w:t xml:space="preserve">: </w:t>
      </w:r>
      <w:r w:rsidR="0051045A" w:rsidRPr="002B674D">
        <w:rPr>
          <w:sz w:val="24"/>
          <w:szCs w:val="24"/>
        </w:rPr>
        <w:t>Yes. This unit of instruction requires that driver-trainees be informed about the right of employees to question the safety practices of an employer without risk of losing their job or being subjected to other forms of retaliation. These protections extend to an employee who has filed a complaint with an employer alleging a violation of  a security standard and to a driver who refuses to operate a CMV due to a “reasonable apprehension of serious injury” due to “the vehicle’s hazardous safety or security condition” (49 U.S.C. 31105(a)(B)(</w:t>
      </w:r>
      <w:proofErr w:type="spellStart"/>
      <w:r w:rsidR="0051045A" w:rsidRPr="002B674D">
        <w:rPr>
          <w:sz w:val="24"/>
          <w:szCs w:val="24"/>
        </w:rPr>
        <w:t>i</w:t>
      </w:r>
      <w:proofErr w:type="spellEnd"/>
      <w:r w:rsidR="0051045A" w:rsidRPr="002B674D">
        <w:rPr>
          <w:sz w:val="24"/>
          <w:szCs w:val="24"/>
        </w:rPr>
        <w:t>),(ii)).</w:t>
      </w:r>
    </w:p>
    <w:p w14:paraId="66F3EF6D" w14:textId="77777777" w:rsidR="002B674D" w:rsidRDefault="002B674D">
      <w:pPr>
        <w:spacing w:after="0" w:line="240" w:lineRule="auto"/>
        <w:rPr>
          <w:sz w:val="24"/>
          <w:szCs w:val="24"/>
        </w:rPr>
      </w:pPr>
    </w:p>
    <w:p w14:paraId="4DC02342" w14:textId="235098F8" w:rsidR="0051045A" w:rsidRPr="002B674D" w:rsidRDefault="002B674D" w:rsidP="002B674D">
      <w:pPr>
        <w:spacing w:after="0" w:line="240" w:lineRule="auto"/>
        <w:rPr>
          <w:sz w:val="24"/>
          <w:szCs w:val="24"/>
        </w:rPr>
      </w:pPr>
      <w:r w:rsidRPr="002B674D">
        <w:rPr>
          <w:sz w:val="24"/>
          <w:szCs w:val="24"/>
        </w:rPr>
        <w:t>If a CMV driver is subject to sexual harassment, threat of sexual assault, or sexual assault by the employer, another driver, or a training instructor employed by the employer, the employer has violated basic security standards for a safe working environment. Allegations of sexual assault and threat of sexual assault should be investigated as crimes and constitute “a hazardous security condition” that could impair the driver’s ability to safely operate a CMV. The FMCSA strongly recommends that ELDT training providers address the whistleblower and coercion protections available to drivers facing these issues.</w:t>
      </w:r>
      <w:r w:rsidR="0051045A" w:rsidRPr="002B674D">
        <w:rPr>
          <w:sz w:val="24"/>
          <w:szCs w:val="24"/>
        </w:rPr>
        <w:t xml:space="preserve"> </w:t>
      </w:r>
    </w:p>
    <w:p w14:paraId="10DB7D54" w14:textId="02760437" w:rsidR="00CB0071" w:rsidRPr="002B674D" w:rsidRDefault="00CB0071" w:rsidP="002B674D">
      <w:pPr>
        <w:spacing w:after="0" w:line="240" w:lineRule="auto"/>
        <w:rPr>
          <w:rFonts w:eastAsia="Calibri" w:cstheme="minorHAnsi"/>
          <w:sz w:val="24"/>
          <w:szCs w:val="24"/>
        </w:rPr>
      </w:pPr>
    </w:p>
    <w:p w14:paraId="5B54E227" w14:textId="0A140213" w:rsidR="00637C8A" w:rsidRPr="002B674D" w:rsidRDefault="00D75A9A" w:rsidP="002B674D">
      <w:pPr>
        <w:spacing w:after="0" w:line="240" w:lineRule="auto"/>
        <w:rPr>
          <w:rFonts w:eastAsia="Calibri" w:cstheme="minorHAnsi"/>
          <w:sz w:val="24"/>
          <w:szCs w:val="24"/>
        </w:rPr>
      </w:pPr>
      <w:r w:rsidRPr="002B674D">
        <w:rPr>
          <w:rFonts w:eastAsia="Calibri" w:cstheme="minorHAnsi"/>
          <w:b/>
          <w:bCs/>
          <w:sz w:val="24"/>
          <w:szCs w:val="24"/>
        </w:rPr>
        <w:t xml:space="preserve">Contact Info: </w:t>
      </w:r>
      <w:r w:rsidR="00637C8A" w:rsidRPr="002B674D">
        <w:rPr>
          <w:rFonts w:eastAsia="Calibri" w:cstheme="minorHAnsi"/>
          <w:sz w:val="24"/>
          <w:szCs w:val="24"/>
        </w:rPr>
        <w:t>FMCSA</w:t>
      </w:r>
      <w:r w:rsidR="0046079F" w:rsidRPr="002B674D">
        <w:rPr>
          <w:rFonts w:eastAsia="Calibri" w:cstheme="minorHAnsi"/>
          <w:sz w:val="24"/>
          <w:szCs w:val="24"/>
        </w:rPr>
        <w:t xml:space="preserve"> Information</w:t>
      </w:r>
      <w:r w:rsidR="0051045A" w:rsidRPr="0051045A">
        <w:rPr>
          <w:rFonts w:eastAsia="Calibri" w:cstheme="minorHAnsi"/>
          <w:sz w:val="24"/>
          <w:szCs w:val="24"/>
        </w:rPr>
        <w:t xml:space="preserve"> Line</w:t>
      </w:r>
      <w:r w:rsidR="00637C8A" w:rsidRPr="002B674D">
        <w:rPr>
          <w:rFonts w:eastAsia="Calibri" w:cstheme="minorHAnsi"/>
          <w:sz w:val="24"/>
          <w:szCs w:val="24"/>
        </w:rPr>
        <w:t>, 1-800-832-5660</w:t>
      </w:r>
    </w:p>
    <w:p w14:paraId="369E9CEF" w14:textId="77777777" w:rsidR="00D75A9A" w:rsidRPr="0051045A" w:rsidRDefault="00D75A9A">
      <w:pPr>
        <w:shd w:val="clear" w:color="auto" w:fill="FFFFFF"/>
        <w:spacing w:after="0" w:line="240" w:lineRule="auto"/>
        <w:outlineLvl w:val="1"/>
        <w:rPr>
          <w:rFonts w:cstheme="minorHAnsi"/>
          <w:sz w:val="24"/>
          <w:szCs w:val="24"/>
        </w:rPr>
      </w:pPr>
      <w:r w:rsidRPr="0051045A">
        <w:rPr>
          <w:rFonts w:cstheme="minorHAnsi"/>
          <w:sz w:val="24"/>
          <w:szCs w:val="24"/>
        </w:rPr>
        <w:t>________________________</w:t>
      </w:r>
    </w:p>
    <w:p w14:paraId="7DF7583C" w14:textId="77777777" w:rsidR="00D75A9A" w:rsidRPr="0051045A" w:rsidRDefault="00D75A9A">
      <w:pPr>
        <w:shd w:val="clear" w:color="auto" w:fill="FFFFFF"/>
        <w:spacing w:after="0" w:line="240" w:lineRule="auto"/>
        <w:outlineLvl w:val="1"/>
        <w:rPr>
          <w:rFonts w:cstheme="minorHAnsi"/>
          <w:b/>
          <w:bCs/>
          <w:color w:val="000000"/>
          <w:sz w:val="24"/>
          <w:szCs w:val="24"/>
        </w:rPr>
      </w:pPr>
    </w:p>
    <w:p w14:paraId="1500E6B7" w14:textId="77777777" w:rsidR="00D75A9A" w:rsidRPr="002B674D" w:rsidRDefault="00D75A9A">
      <w:pPr>
        <w:shd w:val="clear" w:color="auto" w:fill="FFFFFF"/>
        <w:spacing w:after="0" w:line="240" w:lineRule="auto"/>
        <w:outlineLvl w:val="1"/>
        <w:rPr>
          <w:rFonts w:cstheme="minorHAnsi"/>
          <w:i/>
          <w:iCs/>
          <w:sz w:val="24"/>
          <w:szCs w:val="24"/>
        </w:rPr>
      </w:pPr>
      <w:r w:rsidRPr="002B674D">
        <w:rPr>
          <w:rFonts w:cstheme="minorHAnsi"/>
          <w:i/>
          <w:iCs/>
          <w:sz w:val="24"/>
          <w:szCs w:val="24"/>
        </w:rPr>
        <w:t>Note: This guidance document does not have the force and effect of law and is not meant to bind the public in any way.  It is intended only to provide information and clarity regarding existing requirements under the law or agency policies.</w:t>
      </w:r>
    </w:p>
    <w:p w14:paraId="6274E34F" w14:textId="77777777" w:rsidR="00637C8A" w:rsidRPr="002B674D" w:rsidRDefault="00637C8A" w:rsidP="002B674D">
      <w:pPr>
        <w:spacing w:after="0" w:line="240" w:lineRule="auto"/>
        <w:rPr>
          <w:rFonts w:eastAsia="Calibri" w:cstheme="minorHAnsi"/>
          <w:b/>
          <w:bCs/>
          <w:sz w:val="24"/>
          <w:szCs w:val="24"/>
        </w:rPr>
      </w:pPr>
    </w:p>
    <w:p w14:paraId="3E694E17" w14:textId="6494D886" w:rsidR="00637C8A" w:rsidRDefault="00637C8A" w:rsidP="0051045A">
      <w:pPr>
        <w:spacing w:after="0" w:line="240" w:lineRule="auto"/>
        <w:rPr>
          <w:rFonts w:eastAsia="Calibri" w:cstheme="minorHAnsi"/>
          <w:b/>
          <w:bCs/>
          <w:sz w:val="24"/>
          <w:szCs w:val="24"/>
        </w:rPr>
      </w:pPr>
      <w:r w:rsidRPr="002B674D">
        <w:rPr>
          <w:rFonts w:eastAsia="Calibri" w:cstheme="minorHAnsi"/>
          <w:b/>
          <w:bCs/>
          <w:sz w:val="24"/>
          <w:szCs w:val="24"/>
        </w:rPr>
        <w:t xml:space="preserve">Regulatory Topic: </w:t>
      </w:r>
      <w:r w:rsidR="00CB08F0">
        <w:rPr>
          <w:rFonts w:eastAsia="Calibri" w:cstheme="minorHAnsi"/>
          <w:b/>
          <w:bCs/>
          <w:sz w:val="24"/>
          <w:szCs w:val="24"/>
        </w:rPr>
        <w:t xml:space="preserve">Entry-Level Driver Training - </w:t>
      </w:r>
      <w:r w:rsidR="0051045A" w:rsidRPr="0051045A">
        <w:rPr>
          <w:rFonts w:eastAsia="Calibri" w:cstheme="minorHAnsi"/>
          <w:b/>
          <w:bCs/>
          <w:sz w:val="24"/>
          <w:szCs w:val="24"/>
        </w:rPr>
        <w:t>Whistleblower and Coercion Protections</w:t>
      </w:r>
    </w:p>
    <w:p w14:paraId="37C18EE0" w14:textId="77777777" w:rsidR="0051045A" w:rsidRPr="002B674D" w:rsidRDefault="0051045A" w:rsidP="002B674D">
      <w:pPr>
        <w:spacing w:after="0" w:line="240" w:lineRule="auto"/>
        <w:rPr>
          <w:rFonts w:eastAsia="Calibri" w:cstheme="minorHAnsi"/>
          <w:b/>
          <w:bCs/>
          <w:sz w:val="24"/>
          <w:szCs w:val="24"/>
        </w:rPr>
      </w:pPr>
    </w:p>
    <w:p w14:paraId="68E592C2" w14:textId="6E882182" w:rsidR="00637C8A" w:rsidRDefault="0051045A" w:rsidP="0051045A">
      <w:pPr>
        <w:spacing w:after="0" w:line="240" w:lineRule="auto"/>
        <w:rPr>
          <w:rFonts w:eastAsia="Calibri" w:cstheme="minorHAnsi"/>
          <w:sz w:val="24"/>
          <w:szCs w:val="24"/>
        </w:rPr>
      </w:pPr>
      <w:r w:rsidRPr="0051045A">
        <w:rPr>
          <w:rFonts w:eastAsia="Calibri" w:cstheme="minorHAnsi"/>
          <w:sz w:val="24"/>
          <w:szCs w:val="24"/>
        </w:rPr>
        <w:t>Effective</w:t>
      </w:r>
      <w:r w:rsidRPr="002B674D">
        <w:rPr>
          <w:rFonts w:eastAsia="Calibri" w:cstheme="minorHAnsi"/>
          <w:sz w:val="24"/>
          <w:szCs w:val="24"/>
        </w:rPr>
        <w:t xml:space="preserve"> </w:t>
      </w:r>
      <w:r w:rsidR="00637C8A" w:rsidRPr="002B674D">
        <w:rPr>
          <w:rFonts w:eastAsia="Calibri" w:cstheme="minorHAnsi"/>
          <w:sz w:val="24"/>
          <w:szCs w:val="24"/>
        </w:rPr>
        <w:t xml:space="preserve">Date: </w:t>
      </w:r>
      <w:r w:rsidR="00335B8F">
        <w:rPr>
          <w:rFonts w:eastAsia="Calibri" w:cstheme="minorHAnsi"/>
          <w:sz w:val="24"/>
          <w:szCs w:val="24"/>
        </w:rPr>
        <w:t xml:space="preserve">Wednesday, </w:t>
      </w:r>
      <w:r w:rsidR="00637C8A" w:rsidRPr="002B674D">
        <w:rPr>
          <w:rFonts w:eastAsia="Calibri" w:cstheme="minorHAnsi"/>
          <w:sz w:val="24"/>
          <w:szCs w:val="24"/>
        </w:rPr>
        <w:t xml:space="preserve">March </w:t>
      </w:r>
      <w:r w:rsidRPr="0051045A">
        <w:rPr>
          <w:rFonts w:eastAsia="Calibri" w:cstheme="minorHAnsi"/>
          <w:sz w:val="24"/>
          <w:szCs w:val="24"/>
        </w:rPr>
        <w:t>9</w:t>
      </w:r>
      <w:r w:rsidR="00637C8A" w:rsidRPr="002B674D">
        <w:rPr>
          <w:rFonts w:eastAsia="Calibri" w:cstheme="minorHAnsi"/>
          <w:sz w:val="24"/>
          <w:szCs w:val="24"/>
        </w:rPr>
        <w:t>, 2022</w:t>
      </w:r>
    </w:p>
    <w:p w14:paraId="7CDEF571" w14:textId="77777777" w:rsidR="0051045A" w:rsidRPr="002B674D" w:rsidRDefault="0051045A" w:rsidP="002B674D">
      <w:pPr>
        <w:spacing w:after="0" w:line="240" w:lineRule="auto"/>
        <w:rPr>
          <w:rFonts w:cstheme="minorHAnsi"/>
          <w:color w:val="1F497D"/>
          <w:sz w:val="24"/>
          <w:szCs w:val="24"/>
        </w:rPr>
      </w:pPr>
    </w:p>
    <w:p w14:paraId="53FACEA8" w14:textId="0EF7806A" w:rsidR="00637C8A" w:rsidRPr="002B674D" w:rsidRDefault="00637C8A" w:rsidP="002B674D">
      <w:pPr>
        <w:spacing w:after="0" w:line="240" w:lineRule="auto"/>
        <w:rPr>
          <w:rFonts w:cstheme="minorHAnsi"/>
          <w:color w:val="1F497D"/>
          <w:sz w:val="24"/>
          <w:szCs w:val="24"/>
        </w:rPr>
      </w:pPr>
      <w:r w:rsidRPr="002B674D">
        <w:rPr>
          <w:rFonts w:eastAsia="Calibri" w:cstheme="minorHAnsi"/>
          <w:sz w:val="24"/>
          <w:szCs w:val="24"/>
        </w:rPr>
        <w:t xml:space="preserve">Issued Date: </w:t>
      </w:r>
      <w:r w:rsidR="00335B8F">
        <w:rPr>
          <w:rFonts w:eastAsia="Calibri" w:cstheme="minorHAnsi"/>
          <w:sz w:val="24"/>
          <w:szCs w:val="24"/>
        </w:rPr>
        <w:t xml:space="preserve">Wednesday, </w:t>
      </w:r>
      <w:r w:rsidRPr="002B674D">
        <w:rPr>
          <w:rFonts w:eastAsia="Calibri" w:cstheme="minorHAnsi"/>
          <w:sz w:val="24"/>
          <w:szCs w:val="24"/>
        </w:rPr>
        <w:t xml:space="preserve">March </w:t>
      </w:r>
      <w:r w:rsidR="0051045A" w:rsidRPr="0051045A">
        <w:rPr>
          <w:rFonts w:eastAsia="Calibri" w:cstheme="minorHAnsi"/>
          <w:sz w:val="24"/>
          <w:szCs w:val="24"/>
        </w:rPr>
        <w:t>9</w:t>
      </w:r>
      <w:r w:rsidRPr="002B674D">
        <w:rPr>
          <w:rFonts w:eastAsia="Calibri" w:cstheme="minorHAnsi"/>
          <w:sz w:val="24"/>
          <w:szCs w:val="24"/>
        </w:rPr>
        <w:t>, 2022</w:t>
      </w:r>
    </w:p>
    <w:sectPr w:rsidR="00637C8A" w:rsidRPr="002B6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8A"/>
    <w:rsid w:val="00083C7E"/>
    <w:rsid w:val="001F754D"/>
    <w:rsid w:val="00253995"/>
    <w:rsid w:val="002B674D"/>
    <w:rsid w:val="00335B8F"/>
    <w:rsid w:val="004120E8"/>
    <w:rsid w:val="0046079F"/>
    <w:rsid w:val="0051045A"/>
    <w:rsid w:val="006155FE"/>
    <w:rsid w:val="00637C8A"/>
    <w:rsid w:val="00A726EF"/>
    <w:rsid w:val="00BB4F59"/>
    <w:rsid w:val="00CB0071"/>
    <w:rsid w:val="00CB08F0"/>
    <w:rsid w:val="00D75A9A"/>
    <w:rsid w:val="00D94E88"/>
    <w:rsid w:val="00F203CA"/>
    <w:rsid w:val="00F23C8A"/>
    <w:rsid w:val="00FC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0754"/>
  <w15:chartTrackingRefBased/>
  <w15:docId w15:val="{0A438B3E-8735-4B0D-8D7F-D58AD607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A9A"/>
    <w:rPr>
      <w:color w:val="0563C1" w:themeColor="hyperlink"/>
      <w:u w:val="single"/>
    </w:rPr>
  </w:style>
  <w:style w:type="character" w:styleId="UnresolvedMention">
    <w:name w:val="Unresolved Mention"/>
    <w:basedOn w:val="DefaultParagraphFont"/>
    <w:uiPriority w:val="99"/>
    <w:semiHidden/>
    <w:unhideWhenUsed/>
    <w:rsid w:val="00D75A9A"/>
    <w:rPr>
      <w:color w:val="605E5C"/>
      <w:shd w:val="clear" w:color="auto" w:fill="E1DFDD"/>
    </w:rPr>
  </w:style>
  <w:style w:type="paragraph" w:styleId="BalloonText">
    <w:name w:val="Balloon Text"/>
    <w:basedOn w:val="Normal"/>
    <w:link w:val="BalloonTextChar"/>
    <w:uiPriority w:val="99"/>
    <w:semiHidden/>
    <w:unhideWhenUsed/>
    <w:rsid w:val="0046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79F"/>
    <w:rPr>
      <w:rFonts w:ascii="Segoe UI" w:hAnsi="Segoe UI" w:cs="Segoe UI"/>
      <w:sz w:val="18"/>
      <w:szCs w:val="18"/>
    </w:rPr>
  </w:style>
  <w:style w:type="character" w:styleId="CommentReference">
    <w:name w:val="annotation reference"/>
    <w:basedOn w:val="DefaultParagraphFont"/>
    <w:uiPriority w:val="99"/>
    <w:semiHidden/>
    <w:unhideWhenUsed/>
    <w:rsid w:val="0046079F"/>
    <w:rPr>
      <w:sz w:val="16"/>
      <w:szCs w:val="16"/>
    </w:rPr>
  </w:style>
  <w:style w:type="paragraph" w:styleId="CommentText">
    <w:name w:val="annotation text"/>
    <w:basedOn w:val="Normal"/>
    <w:link w:val="CommentTextChar"/>
    <w:uiPriority w:val="99"/>
    <w:semiHidden/>
    <w:unhideWhenUsed/>
    <w:rsid w:val="0046079F"/>
    <w:pPr>
      <w:spacing w:line="240" w:lineRule="auto"/>
    </w:pPr>
    <w:rPr>
      <w:sz w:val="20"/>
      <w:szCs w:val="20"/>
    </w:rPr>
  </w:style>
  <w:style w:type="character" w:customStyle="1" w:styleId="CommentTextChar">
    <w:name w:val="Comment Text Char"/>
    <w:basedOn w:val="DefaultParagraphFont"/>
    <w:link w:val="CommentText"/>
    <w:uiPriority w:val="99"/>
    <w:semiHidden/>
    <w:rsid w:val="0046079F"/>
    <w:rPr>
      <w:sz w:val="20"/>
      <w:szCs w:val="20"/>
    </w:rPr>
  </w:style>
  <w:style w:type="paragraph" w:styleId="CommentSubject">
    <w:name w:val="annotation subject"/>
    <w:basedOn w:val="CommentText"/>
    <w:next w:val="CommentText"/>
    <w:link w:val="CommentSubjectChar"/>
    <w:uiPriority w:val="99"/>
    <w:semiHidden/>
    <w:unhideWhenUsed/>
    <w:rsid w:val="0046079F"/>
    <w:rPr>
      <w:b/>
      <w:bCs/>
    </w:rPr>
  </w:style>
  <w:style w:type="character" w:customStyle="1" w:styleId="CommentSubjectChar">
    <w:name w:val="Comment Subject Char"/>
    <w:basedOn w:val="CommentTextChar"/>
    <w:link w:val="CommentSubject"/>
    <w:uiPriority w:val="99"/>
    <w:semiHidden/>
    <w:rsid w:val="004607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372159">
      <w:bodyDiv w:val="1"/>
      <w:marLeft w:val="0"/>
      <w:marRight w:val="0"/>
      <w:marTop w:val="0"/>
      <w:marBottom w:val="0"/>
      <w:divBdr>
        <w:top w:val="none" w:sz="0" w:space="0" w:color="auto"/>
        <w:left w:val="none" w:sz="0" w:space="0" w:color="auto"/>
        <w:bottom w:val="none" w:sz="0" w:space="0" w:color="auto"/>
        <w:right w:val="none" w:sz="0" w:space="0" w:color="auto"/>
      </w:divBdr>
    </w:div>
    <w:div w:id="900217450">
      <w:bodyDiv w:val="1"/>
      <w:marLeft w:val="0"/>
      <w:marRight w:val="0"/>
      <w:marTop w:val="0"/>
      <w:marBottom w:val="0"/>
      <w:divBdr>
        <w:top w:val="none" w:sz="0" w:space="0" w:color="auto"/>
        <w:left w:val="none" w:sz="0" w:space="0" w:color="auto"/>
        <w:bottom w:val="none" w:sz="0" w:space="0" w:color="auto"/>
        <w:right w:val="none" w:sz="0" w:space="0" w:color="auto"/>
      </w:divBdr>
    </w:div>
    <w:div w:id="1550536838">
      <w:bodyDiv w:val="1"/>
      <w:marLeft w:val="0"/>
      <w:marRight w:val="0"/>
      <w:marTop w:val="0"/>
      <w:marBottom w:val="0"/>
      <w:divBdr>
        <w:top w:val="none" w:sz="0" w:space="0" w:color="auto"/>
        <w:left w:val="none" w:sz="0" w:space="0" w:color="auto"/>
        <w:bottom w:val="none" w:sz="0" w:space="0" w:color="auto"/>
        <w:right w:val="none" w:sz="0" w:space="0" w:color="auto"/>
      </w:divBdr>
    </w:div>
    <w:div w:id="210714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CC63B-30C8-47FE-852D-510E32AB9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0BDB9-D599-485F-965C-08AFC6FF92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E428DF-A47F-4CF6-A420-B687923351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DOT - Volpe Center</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Winkle, Anna (FMCSA)</cp:lastModifiedBy>
  <cp:revision>3</cp:revision>
  <dcterms:created xsi:type="dcterms:W3CDTF">2022-03-09T20:22:00Z</dcterms:created>
  <dcterms:modified xsi:type="dcterms:W3CDTF">2022-03-09T20:25:00Z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