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323FBF36"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F566A">
        <w:rPr>
          <w:rStyle w:val="normaltextrun"/>
          <w:rFonts w:ascii="Calibri" w:hAnsi="Calibri" w:cs="Calibri"/>
        </w:rPr>
        <w:t>3</w:t>
      </w:r>
      <w:r w:rsidR="00511F3B">
        <w:rPr>
          <w:rStyle w:val="normaltextrun"/>
          <w:rFonts w:ascii="Calibri" w:hAnsi="Calibri" w:cs="Calibri"/>
        </w:rPr>
        <w:t>1</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7452B5F" w14:textId="388811ED" w:rsidR="004F5C3E"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511F3B" w:rsidRPr="00511F3B">
        <w:rPr>
          <w:rStyle w:val="normaltextrun"/>
          <w:rFonts w:ascii="Calibri" w:hAnsi="Calibri" w:cs="Calibri"/>
        </w:rPr>
        <w:t>Are motor carriers that meet the agricultural exemption defined in 49 CFR 395.1(k) or the covered farm vehicle § 395.1(s) subject to the Electronic Logging Device (ELD) rule?</w:t>
      </w:r>
    </w:p>
    <w:p w14:paraId="3EBB41E9"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4A93CFDA" w14:textId="77777777" w:rsidR="00511F3B" w:rsidRPr="00511F3B" w:rsidRDefault="004F5C3E" w:rsidP="00511F3B">
      <w:pPr>
        <w:rPr>
          <w:sz w:val="24"/>
          <w:szCs w:val="24"/>
        </w:rPr>
      </w:pPr>
      <w:r w:rsidRPr="00D7358C">
        <w:rPr>
          <w:rStyle w:val="BodyTextChar"/>
          <w:rFonts w:ascii="Calibri" w:hAnsi="Calibri" w:cs="Calibri"/>
          <w:b/>
          <w:bCs/>
          <w:sz w:val="24"/>
          <w:szCs w:val="24"/>
        </w:rPr>
        <w:t>Guidance</w:t>
      </w:r>
      <w:r w:rsidRPr="00D7358C">
        <w:rPr>
          <w:rStyle w:val="BodyTextChar"/>
          <w:rFonts w:ascii="Calibri" w:hAnsi="Calibri" w:cs="Calibri"/>
          <w:sz w:val="24"/>
          <w:szCs w:val="24"/>
        </w:rPr>
        <w:t xml:space="preserve">: </w:t>
      </w:r>
      <w:r w:rsidR="00511F3B" w:rsidRPr="00511F3B">
        <w:rPr>
          <w:sz w:val="24"/>
          <w:szCs w:val="24"/>
        </w:rPr>
        <w:t xml:space="preserve">The ELD rule does not change any of the current hours of service exemptions. Therefore, motor carriers that meet the exemptions defined in § </w:t>
      </w:r>
      <w:hyperlink r:id="rId8" w:history="1">
        <w:r w:rsidR="00511F3B" w:rsidRPr="00511F3B">
          <w:rPr>
            <w:rStyle w:val="Hyperlink"/>
            <w:sz w:val="24"/>
            <w:szCs w:val="24"/>
          </w:rPr>
          <w:t>395.1</w:t>
        </w:r>
      </w:hyperlink>
      <w:r w:rsidR="00511F3B" w:rsidRPr="00511F3B">
        <w:rPr>
          <w:sz w:val="24"/>
          <w:szCs w:val="24"/>
        </w:rPr>
        <w:t xml:space="preserve"> are not subject to part </w:t>
      </w:r>
      <w:hyperlink r:id="rId9" w:history="1">
        <w:r w:rsidR="00511F3B" w:rsidRPr="00511F3B">
          <w:rPr>
            <w:rStyle w:val="Hyperlink"/>
            <w:sz w:val="24"/>
            <w:szCs w:val="24"/>
          </w:rPr>
          <w:t>395</w:t>
        </w:r>
      </w:hyperlink>
      <w:r w:rsidR="00511F3B" w:rsidRPr="00511F3B">
        <w:rPr>
          <w:sz w:val="24"/>
          <w:szCs w:val="24"/>
        </w:rPr>
        <w:t xml:space="preserve">, including the ELD rule while they are operating under the terms of the exemption. The duty status of the driver may be noted as either off-duty (with appropriate annotation), or “exempt.” Learn more about the </w:t>
      </w:r>
      <w:hyperlink r:id="rId10" w:history="1">
        <w:r w:rsidR="00511F3B" w:rsidRPr="00511F3B">
          <w:rPr>
            <w:rStyle w:val="Hyperlink"/>
            <w:sz w:val="24"/>
            <w:szCs w:val="24"/>
          </w:rPr>
          <w:t>agriculture exemption</w:t>
        </w:r>
      </w:hyperlink>
      <w:r w:rsidR="00511F3B" w:rsidRPr="00511F3B">
        <w:rPr>
          <w:sz w:val="24"/>
          <w:szCs w:val="24"/>
        </w:rPr>
        <w:t>.</w:t>
      </w:r>
    </w:p>
    <w:p w14:paraId="6C2C015D" w14:textId="2399C752" w:rsidR="00AD54EC" w:rsidRDefault="00AD54EC" w:rsidP="00511F3B">
      <w:pPr>
        <w:pStyle w:val="BodyText"/>
        <w:rPr>
          <w:rFonts w:ascii="Segoe UI" w:hAnsi="Segoe UI" w:cs="Segoe UI"/>
          <w:sz w:val="18"/>
          <w:szCs w:val="18"/>
        </w:rPr>
      </w:pPr>
    </w:p>
    <w:p w14:paraId="31164713" w14:textId="385BD381" w:rsidR="00646F61" w:rsidRDefault="004F5C3E" w:rsidP="00646F6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11" w:history="1">
        <w:r w:rsidR="00646F61" w:rsidRPr="00ED6C53">
          <w:rPr>
            <w:rStyle w:val="Hyperlink"/>
            <w:rFonts w:ascii="Calibri" w:hAnsi="Calibri" w:cs="Calibri"/>
          </w:rPr>
          <w:t>ELD@dot.gov</w:t>
        </w:r>
      </w:hyperlink>
      <w:r w:rsidR="00646F61">
        <w:rPr>
          <w:rStyle w:val="normaltextrun"/>
          <w:rFonts w:ascii="Calibri" w:hAnsi="Calibri" w:cs="Calibri"/>
        </w:rPr>
        <w:t>.</w:t>
      </w:r>
    </w:p>
    <w:p w14:paraId="06EAB18F" w14:textId="497538F1" w:rsidR="004F5C3E" w:rsidRDefault="004F5C3E" w:rsidP="00646F6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02E225F" w14:textId="77777777" w:rsidR="00646F61" w:rsidRPr="00646F61" w:rsidRDefault="00646F61" w:rsidP="00646F61">
      <w:pPr>
        <w:rPr>
          <w:rStyle w:val="normaltextrun"/>
          <w:rFonts w:ascii="Calibri" w:eastAsia="Times New Roman" w:hAnsi="Calibri" w:cs="Calibri"/>
          <w:sz w:val="24"/>
          <w:szCs w:val="24"/>
        </w:rPr>
      </w:pPr>
      <w:r w:rsidRPr="00646F61">
        <w:rPr>
          <w:rStyle w:val="normaltextrun"/>
          <w:rFonts w:ascii="Calibri" w:eastAsia="Times New Roman" w:hAnsi="Calibri" w:cs="Calibri"/>
          <w:sz w:val="24"/>
          <w:szCs w:val="24"/>
        </w:rPr>
        <w:t xml:space="preserve">Effective Date: Thursday, March 10, 2022 </w:t>
      </w:r>
    </w:p>
    <w:p w14:paraId="74E96C3A" w14:textId="77777777" w:rsidR="00646F61" w:rsidRPr="00646F61" w:rsidRDefault="00646F61" w:rsidP="00646F61">
      <w:pPr>
        <w:rPr>
          <w:rStyle w:val="normaltextrun"/>
          <w:rFonts w:ascii="Calibri" w:eastAsia="Times New Roman" w:hAnsi="Calibri" w:cs="Calibri"/>
          <w:sz w:val="24"/>
          <w:szCs w:val="24"/>
        </w:rPr>
      </w:pPr>
    </w:p>
    <w:p w14:paraId="73FB9FB5" w14:textId="39E9E57B" w:rsidR="00CD7C26" w:rsidRDefault="00646F61" w:rsidP="00646F61">
      <w:r w:rsidRPr="00646F61">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4C1885"/>
    <w:rsid w:val="004F5C3E"/>
    <w:rsid w:val="00511F3B"/>
    <w:rsid w:val="00582038"/>
    <w:rsid w:val="00646F61"/>
    <w:rsid w:val="009C6242"/>
    <w:rsid w:val="009C7CCA"/>
    <w:rsid w:val="009F566A"/>
    <w:rsid w:val="00AD54EC"/>
    <w:rsid w:val="00B504D3"/>
    <w:rsid w:val="00C7481C"/>
    <w:rsid w:val="00CA585E"/>
    <w:rsid w:val="00CD7C26"/>
    <w:rsid w:val="00D7358C"/>
    <w:rsid w:val="00DE4CE8"/>
    <w:rsid w:val="00F154FA"/>
    <w:rsid w:val="5E54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646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search?flag=invalid_reference&amp;search%5Bquery%5D=395.1"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D@dot.gov" TargetMode="External"/><Relationship Id="rId5" Type="http://schemas.openxmlformats.org/officeDocument/2006/relationships/styles" Target="styles.xml"/><Relationship Id="rId10" Type="http://schemas.openxmlformats.org/officeDocument/2006/relationships/hyperlink" Target="https://www.fmcsa.dot.gov/hours-service/elds/agricultural-commodity" TargetMode="External"/><Relationship Id="rId4" Type="http://schemas.openxmlformats.org/officeDocument/2006/relationships/numbering" Target="numbering.xml"/><Relationship Id="rId9" Type="http://schemas.openxmlformats.org/officeDocument/2006/relationships/hyperlink" Target="https://www.fmcsa.dot.gov/regulations/title49/part/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D2F18-08B7-4E43-B303-E660EAE1AC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B04145-91B4-43E9-B64B-77513926362A}">
  <ds:schemaRefs>
    <ds:schemaRef ds:uri="http://schemas.microsoft.com/sharepoint/v3/contenttype/forms"/>
  </ds:schemaRefs>
</ds:datastoreItem>
</file>

<file path=customXml/itemProps3.xml><?xml version="1.0" encoding="utf-8"?>
<ds:datastoreItem xmlns:ds="http://schemas.openxmlformats.org/officeDocument/2006/customXml" ds:itemID="{D70BFA3A-A760-4F05-9511-C219F370A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1169</Characters>
  <Application>Microsoft Office Word</Application>
  <DocSecurity>4</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2022-03-10T01:51:00Z</dcterms:created>
  <dcterms:modified xsi:type="dcterms:W3CDTF">2022-03-10T01:51:00Z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