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
        <w:rPr>
          <w:noProof/>
          <w:lang w:eastAsia="zh-TW"/>
        </w:rPr>
        <w:drawing>
          <wp:anchor distT="0" distB="0" distL="114300" distR="114300" simplePos="0" relativeHeight="251667456" behindDoc="0" locked="0" layoutInCell="1" allowOverlap="1">
            <wp:simplePos x="0" y="0"/>
            <wp:positionH relativeFrom="page">
              <wp:align>left</wp:align>
            </wp:positionH>
            <wp:positionV relativeFrom="paragraph">
              <wp:posOffset>-902525</wp:posOffset>
            </wp:positionV>
            <wp:extent cx="7772400" cy="100584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MCSA_HazMat User Guide_Cover Design_MP_ESUS_001.png"/>
                    <pic:cNvPicPr/>
                  </pic:nvPicPr>
                  <pic:blipFill>
                    <a:blip r:embed="rId1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anchor>
        </w:drawing>
      </w:r>
    </w:p>
    <w:p/>
    <w:p/>
    <w:p/>
    <w:p/>
    <w:p/>
    <w:p/>
    <w:p/>
    <w:p/>
    <w:p>
      <w:r>
        <w:br w:type="page"/>
      </w:r>
      <w:bookmarkStart w:id="0" w:name="_GoBack"/>
      <w:bookmarkEnd w:id="0"/>
    </w:p>
    <w:p>
      <w:pPr>
        <w:rPr>
          <w:rFonts w:cs="Arial"/>
          <w:b/>
          <w:color w:val="001647"/>
          <w:sz w:val="32"/>
          <w:szCs w:val="32"/>
        </w:rPr>
      </w:pPr>
      <w:r>
        <w:rPr>
          <w:rFonts w:eastAsia="Arial" w:cs="Arial"/>
          <w:b/>
          <w:bCs/>
          <w:color w:val="001647"/>
          <w:sz w:val="32"/>
          <w:szCs w:val="32"/>
          <w:lang w:val="es-ES_tradnl"/>
        </w:rPr>
        <w:lastRenderedPageBreak/>
        <w:t>Índice</w:t>
      </w:r>
    </w:p>
    <w:p>
      <w:pPr>
        <w:rPr>
          <w:rFonts w:cs="Arial"/>
          <w:b/>
          <w:color w:val="001F5B"/>
          <w:sz w:val="32"/>
          <w:szCs w:val="32"/>
        </w:rPr>
      </w:pPr>
    </w:p>
    <w:p>
      <w:pPr>
        <w:pStyle w:val="TOC1"/>
        <w:tabs>
          <w:tab w:val="right" w:leader="dot" w:pos="9350"/>
        </w:tabs>
        <w:rPr>
          <w:rFonts w:asciiTheme="minorHAnsi" w:eastAsiaTheme="minorEastAsia" w:hAnsiTheme="minorHAnsi" w:cstheme="minorBidi"/>
          <w:b w:val="0"/>
          <w:bCs w:val="0"/>
          <w:iCs w:val="0"/>
          <w:noProof/>
          <w:sz w:val="22"/>
          <w:szCs w:val="22"/>
          <w:lang w:eastAsia="zh-TW"/>
        </w:rPr>
      </w:pPr>
      <w:r>
        <w:rPr>
          <w:rFonts w:asciiTheme="minorHAnsi" w:eastAsiaTheme="minorEastAsia" w:hAnsiTheme="minorHAnsi" w:cs="Calibri Light (Headings)"/>
          <w:i/>
          <w:noProof/>
          <w:color w:val="001F5B"/>
        </w:rPr>
        <w:fldChar w:fldCharType="begin"/>
      </w:r>
      <w:r>
        <w:rPr>
          <w:rFonts w:asciiTheme="minorHAnsi" w:eastAsiaTheme="minorEastAsia" w:hAnsiTheme="minorHAnsi" w:cs="Calibri Light (Headings)"/>
          <w:i/>
          <w:noProof/>
          <w:color w:val="001F5B"/>
        </w:rPr>
        <w:instrText xml:space="preserve"> TOC \o "1-3" \h \z \u </w:instrText>
      </w:r>
      <w:r>
        <w:rPr>
          <w:rFonts w:asciiTheme="minorHAnsi" w:eastAsiaTheme="minorEastAsia" w:hAnsiTheme="minorHAnsi" w:cs="Calibri Light (Headings)"/>
          <w:i/>
          <w:noProof/>
          <w:color w:val="001F5B"/>
        </w:rPr>
        <w:fldChar w:fldCharType="separate"/>
      </w:r>
      <w:hyperlink w:anchor="_Toc93568105" w:history="1">
        <w:r>
          <w:rPr>
            <w:rStyle w:val="Hyperlink"/>
            <w:rFonts w:eastAsia="Arial"/>
            <w:noProof/>
            <w:lang w:val="es-ES_tradnl"/>
          </w:rPr>
          <w:t>Introducción</w:t>
        </w:r>
        <w:r>
          <w:rPr>
            <w:noProof/>
            <w:webHidden/>
          </w:rPr>
          <w:tab/>
        </w:r>
        <w:r>
          <w:rPr>
            <w:noProof/>
            <w:webHidden/>
          </w:rPr>
          <w:fldChar w:fldCharType="begin"/>
        </w:r>
        <w:r>
          <w:rPr>
            <w:noProof/>
            <w:webHidden/>
          </w:rPr>
          <w:instrText xml:space="preserve"> PAGEREF _Toc93568105 \h </w:instrText>
        </w:r>
        <w:r>
          <w:rPr>
            <w:noProof/>
            <w:webHidden/>
          </w:rPr>
        </w:r>
        <w:r>
          <w:rPr>
            <w:noProof/>
            <w:webHidden/>
          </w:rPr>
          <w:fldChar w:fldCharType="separate"/>
        </w:r>
        <w:r>
          <w:rPr>
            <w:noProof/>
            <w:webHidden/>
          </w:rPr>
          <w:t>3</w:t>
        </w:r>
        <w:r>
          <w:rPr>
            <w:noProof/>
            <w:webHidden/>
          </w:rPr>
          <w:fldChar w:fldCharType="end"/>
        </w:r>
      </w:hyperlink>
    </w:p>
    <w:p>
      <w:pPr>
        <w:pStyle w:val="TOC1"/>
        <w:tabs>
          <w:tab w:val="right" w:leader="dot" w:pos="9350"/>
        </w:tabs>
        <w:rPr>
          <w:rFonts w:asciiTheme="minorHAnsi" w:eastAsiaTheme="minorEastAsia" w:hAnsiTheme="minorHAnsi" w:cstheme="minorBidi"/>
          <w:b w:val="0"/>
          <w:bCs w:val="0"/>
          <w:iCs w:val="0"/>
          <w:noProof/>
          <w:sz w:val="22"/>
          <w:szCs w:val="22"/>
          <w:lang w:eastAsia="zh-TW"/>
        </w:rPr>
      </w:pPr>
      <w:hyperlink w:anchor="_Toc93568106" w:history="1">
        <w:r>
          <w:rPr>
            <w:rStyle w:val="Hyperlink"/>
            <w:rFonts w:eastAsia="Arial"/>
            <w:noProof/>
            <w:lang w:val="es-ES_tradnl"/>
          </w:rPr>
          <w:t>Requisitos de registro de la FMCSA</w:t>
        </w:r>
        <w:r>
          <w:rPr>
            <w:noProof/>
            <w:webHidden/>
          </w:rPr>
          <w:tab/>
        </w:r>
        <w:r>
          <w:rPr>
            <w:noProof/>
            <w:webHidden/>
          </w:rPr>
          <w:fldChar w:fldCharType="begin"/>
        </w:r>
        <w:r>
          <w:rPr>
            <w:noProof/>
            <w:webHidden/>
          </w:rPr>
          <w:instrText xml:space="preserve"> PAGEREF _Toc93568106 \h </w:instrText>
        </w:r>
        <w:r>
          <w:rPr>
            <w:noProof/>
            <w:webHidden/>
          </w:rPr>
        </w:r>
        <w:r>
          <w:rPr>
            <w:noProof/>
            <w:webHidden/>
          </w:rPr>
          <w:fldChar w:fldCharType="separate"/>
        </w:r>
        <w:r>
          <w:rPr>
            <w:noProof/>
            <w:webHidden/>
          </w:rPr>
          <w:t>4</w:t>
        </w:r>
        <w:r>
          <w:rPr>
            <w:noProof/>
            <w:webHidden/>
          </w:rPr>
          <w:fldChar w:fldCharType="end"/>
        </w:r>
      </w:hyperlink>
    </w:p>
    <w:p>
      <w:pPr>
        <w:pStyle w:val="TOC2"/>
        <w:tabs>
          <w:tab w:val="right" w:leader="dot" w:pos="9350"/>
        </w:tabs>
        <w:rPr>
          <w:rFonts w:asciiTheme="minorHAnsi" w:eastAsiaTheme="minorEastAsia" w:hAnsiTheme="minorHAnsi" w:cstheme="minorBidi"/>
          <w:bCs w:val="0"/>
          <w:noProof/>
          <w:sz w:val="22"/>
          <w:lang w:eastAsia="zh-TW"/>
        </w:rPr>
      </w:pPr>
      <w:hyperlink w:anchor="_Toc93568107" w:history="1">
        <w:r>
          <w:rPr>
            <w:rStyle w:val="Hyperlink"/>
            <w:rFonts w:eastAsia="Arial"/>
            <w:noProof/>
            <w:lang w:val="es-ES_tradnl"/>
          </w:rPr>
          <w:t>¿Quién debe registrarse en la FMCSA?</w:t>
        </w:r>
        <w:r>
          <w:rPr>
            <w:noProof/>
            <w:webHidden/>
          </w:rPr>
          <w:tab/>
        </w:r>
        <w:r>
          <w:rPr>
            <w:noProof/>
            <w:webHidden/>
          </w:rPr>
          <w:fldChar w:fldCharType="begin"/>
        </w:r>
        <w:r>
          <w:rPr>
            <w:noProof/>
            <w:webHidden/>
          </w:rPr>
          <w:instrText xml:space="preserve"> PAGEREF _Toc93568107 \h </w:instrText>
        </w:r>
        <w:r>
          <w:rPr>
            <w:noProof/>
            <w:webHidden/>
          </w:rPr>
        </w:r>
        <w:r>
          <w:rPr>
            <w:noProof/>
            <w:webHidden/>
          </w:rPr>
          <w:fldChar w:fldCharType="separate"/>
        </w:r>
        <w:r>
          <w:rPr>
            <w:noProof/>
            <w:webHidden/>
          </w:rPr>
          <w:t>4</w:t>
        </w:r>
        <w:r>
          <w:rPr>
            <w:noProof/>
            <w:webHidden/>
          </w:rPr>
          <w:fldChar w:fldCharType="end"/>
        </w:r>
      </w:hyperlink>
    </w:p>
    <w:p>
      <w:pPr>
        <w:pStyle w:val="TOC1"/>
        <w:tabs>
          <w:tab w:val="right" w:leader="dot" w:pos="9350"/>
        </w:tabs>
        <w:rPr>
          <w:rFonts w:asciiTheme="minorHAnsi" w:eastAsiaTheme="minorEastAsia" w:hAnsiTheme="minorHAnsi" w:cstheme="minorBidi"/>
          <w:b w:val="0"/>
          <w:bCs w:val="0"/>
          <w:iCs w:val="0"/>
          <w:noProof/>
          <w:sz w:val="22"/>
          <w:szCs w:val="22"/>
          <w:lang w:eastAsia="zh-TW"/>
        </w:rPr>
      </w:pPr>
      <w:hyperlink w:anchor="_Toc93568108" w:history="1">
        <w:r>
          <w:rPr>
            <w:rStyle w:val="Hyperlink"/>
            <w:rFonts w:eastAsia="Arial"/>
            <w:noProof/>
            <w:lang w:val="es-ES_tradnl"/>
          </w:rPr>
          <w:t>Completar el proceso de registro del autotransportista del FMCSA</w:t>
        </w:r>
        <w:r>
          <w:rPr>
            <w:noProof/>
            <w:webHidden/>
          </w:rPr>
          <w:tab/>
        </w:r>
        <w:r>
          <w:rPr>
            <w:noProof/>
            <w:webHidden/>
          </w:rPr>
          <w:fldChar w:fldCharType="begin"/>
        </w:r>
        <w:r>
          <w:rPr>
            <w:noProof/>
            <w:webHidden/>
          </w:rPr>
          <w:instrText xml:space="preserve"> PAGEREF _Toc93568108 \h </w:instrText>
        </w:r>
        <w:r>
          <w:rPr>
            <w:noProof/>
            <w:webHidden/>
          </w:rPr>
        </w:r>
        <w:r>
          <w:rPr>
            <w:noProof/>
            <w:webHidden/>
          </w:rPr>
          <w:fldChar w:fldCharType="separate"/>
        </w:r>
        <w:r>
          <w:rPr>
            <w:noProof/>
            <w:webHidden/>
          </w:rPr>
          <w:t>6</w:t>
        </w:r>
        <w:r>
          <w:rPr>
            <w:noProof/>
            <w:webHidden/>
          </w:rPr>
          <w:fldChar w:fldCharType="end"/>
        </w:r>
      </w:hyperlink>
    </w:p>
    <w:p>
      <w:pPr>
        <w:pStyle w:val="TOC2"/>
        <w:tabs>
          <w:tab w:val="right" w:leader="dot" w:pos="9350"/>
        </w:tabs>
        <w:rPr>
          <w:rFonts w:asciiTheme="minorHAnsi" w:eastAsiaTheme="minorEastAsia" w:hAnsiTheme="minorHAnsi" w:cstheme="minorBidi"/>
          <w:bCs w:val="0"/>
          <w:noProof/>
          <w:sz w:val="22"/>
          <w:lang w:eastAsia="zh-TW"/>
        </w:rPr>
      </w:pPr>
      <w:hyperlink w:anchor="_Toc93568109" w:history="1">
        <w:r>
          <w:rPr>
            <w:rStyle w:val="Hyperlink"/>
            <w:rFonts w:eastAsia="Arial"/>
            <w:noProof/>
            <w:lang w:val="es-ES_tradnl"/>
          </w:rPr>
          <w:t>¿Cómo registrarme y solicitar el número USDOT?</w:t>
        </w:r>
        <w:r>
          <w:rPr>
            <w:noProof/>
            <w:webHidden/>
          </w:rPr>
          <w:tab/>
        </w:r>
        <w:r>
          <w:rPr>
            <w:noProof/>
            <w:webHidden/>
          </w:rPr>
          <w:fldChar w:fldCharType="begin"/>
        </w:r>
        <w:r>
          <w:rPr>
            <w:noProof/>
            <w:webHidden/>
          </w:rPr>
          <w:instrText xml:space="preserve"> PAGEREF _Toc93568109 \h </w:instrText>
        </w:r>
        <w:r>
          <w:rPr>
            <w:noProof/>
            <w:webHidden/>
          </w:rPr>
        </w:r>
        <w:r>
          <w:rPr>
            <w:noProof/>
            <w:webHidden/>
          </w:rPr>
          <w:fldChar w:fldCharType="separate"/>
        </w:r>
        <w:r>
          <w:rPr>
            <w:noProof/>
            <w:webHidden/>
          </w:rPr>
          <w:t>6</w:t>
        </w:r>
        <w:r>
          <w:rPr>
            <w:noProof/>
            <w:webHidden/>
          </w:rPr>
          <w:fldChar w:fldCharType="end"/>
        </w:r>
      </w:hyperlink>
    </w:p>
    <w:p>
      <w:pPr>
        <w:pStyle w:val="TOC2"/>
        <w:tabs>
          <w:tab w:val="right" w:leader="dot" w:pos="9350"/>
        </w:tabs>
        <w:rPr>
          <w:rFonts w:asciiTheme="minorHAnsi" w:eastAsiaTheme="minorEastAsia" w:hAnsiTheme="minorHAnsi" w:cstheme="minorBidi"/>
          <w:bCs w:val="0"/>
          <w:noProof/>
          <w:sz w:val="22"/>
          <w:lang w:eastAsia="zh-TW"/>
        </w:rPr>
      </w:pPr>
      <w:hyperlink w:anchor="_Toc93568110" w:history="1">
        <w:r>
          <w:rPr>
            <w:rStyle w:val="Hyperlink"/>
            <w:rFonts w:eastAsia="Arial"/>
            <w:noProof/>
            <w:lang w:val="es-ES_tradnl"/>
          </w:rPr>
          <w:t>¿Necesito la autoridad operativa (número de MC)?</w:t>
        </w:r>
        <w:r>
          <w:rPr>
            <w:noProof/>
            <w:webHidden/>
          </w:rPr>
          <w:tab/>
        </w:r>
        <w:r>
          <w:rPr>
            <w:noProof/>
            <w:webHidden/>
          </w:rPr>
          <w:fldChar w:fldCharType="begin"/>
        </w:r>
        <w:r>
          <w:rPr>
            <w:noProof/>
            <w:webHidden/>
          </w:rPr>
          <w:instrText xml:space="preserve"> PAGEREF _Toc93568110 \h </w:instrText>
        </w:r>
        <w:r>
          <w:rPr>
            <w:noProof/>
            <w:webHidden/>
          </w:rPr>
        </w:r>
        <w:r>
          <w:rPr>
            <w:noProof/>
            <w:webHidden/>
          </w:rPr>
          <w:fldChar w:fldCharType="separate"/>
        </w:r>
        <w:r>
          <w:rPr>
            <w:noProof/>
            <w:webHidden/>
          </w:rPr>
          <w:t>6</w:t>
        </w:r>
        <w:r>
          <w:rPr>
            <w:noProof/>
            <w:webHidden/>
          </w:rPr>
          <w:fldChar w:fldCharType="end"/>
        </w:r>
      </w:hyperlink>
    </w:p>
    <w:p>
      <w:pPr>
        <w:pStyle w:val="TOC2"/>
        <w:tabs>
          <w:tab w:val="right" w:leader="dot" w:pos="9350"/>
        </w:tabs>
        <w:rPr>
          <w:rFonts w:asciiTheme="minorHAnsi" w:eastAsiaTheme="minorEastAsia" w:hAnsiTheme="minorHAnsi" w:cstheme="minorBidi"/>
          <w:bCs w:val="0"/>
          <w:noProof/>
          <w:sz w:val="22"/>
          <w:lang w:eastAsia="zh-TW"/>
        </w:rPr>
      </w:pPr>
      <w:hyperlink w:anchor="_Toc93568111" w:history="1">
        <w:r>
          <w:rPr>
            <w:rStyle w:val="Hyperlink"/>
            <w:rFonts w:eastAsia="Arial"/>
            <w:noProof/>
            <w:lang w:val="es-ES_tradnl"/>
          </w:rPr>
          <w:t>¿Qué información debo proporcionar para registrarme en FMCSA?</w:t>
        </w:r>
        <w:r>
          <w:rPr>
            <w:noProof/>
            <w:webHidden/>
          </w:rPr>
          <w:tab/>
        </w:r>
        <w:r>
          <w:rPr>
            <w:noProof/>
            <w:webHidden/>
          </w:rPr>
          <w:fldChar w:fldCharType="begin"/>
        </w:r>
        <w:r>
          <w:rPr>
            <w:noProof/>
            <w:webHidden/>
          </w:rPr>
          <w:instrText xml:space="preserve"> PAGEREF _Toc93568111 \h </w:instrText>
        </w:r>
        <w:r>
          <w:rPr>
            <w:noProof/>
            <w:webHidden/>
          </w:rPr>
        </w:r>
        <w:r>
          <w:rPr>
            <w:noProof/>
            <w:webHidden/>
          </w:rPr>
          <w:fldChar w:fldCharType="separate"/>
        </w:r>
        <w:r>
          <w:rPr>
            <w:noProof/>
            <w:webHidden/>
          </w:rPr>
          <w:t>6</w:t>
        </w:r>
        <w:r>
          <w:rPr>
            <w:noProof/>
            <w:webHidden/>
          </w:rPr>
          <w:fldChar w:fldCharType="end"/>
        </w:r>
      </w:hyperlink>
    </w:p>
    <w:p>
      <w:pPr>
        <w:pStyle w:val="TOC2"/>
        <w:tabs>
          <w:tab w:val="right" w:leader="dot" w:pos="9350"/>
        </w:tabs>
        <w:rPr>
          <w:rFonts w:asciiTheme="minorHAnsi" w:eastAsiaTheme="minorEastAsia" w:hAnsiTheme="minorHAnsi" w:cstheme="minorBidi"/>
          <w:bCs w:val="0"/>
          <w:noProof/>
          <w:sz w:val="22"/>
          <w:lang w:eastAsia="zh-TW"/>
        </w:rPr>
      </w:pPr>
      <w:hyperlink w:anchor="_Toc93568112" w:history="1">
        <w:r>
          <w:rPr>
            <w:rStyle w:val="Hyperlink"/>
            <w:rFonts w:eastAsia="Arial"/>
            <w:noProof/>
            <w:lang w:val="es-ES_tradnl"/>
          </w:rPr>
          <w:t>¿Cuáles son los requisitos de mi seguro?</w:t>
        </w:r>
        <w:r>
          <w:rPr>
            <w:noProof/>
            <w:webHidden/>
          </w:rPr>
          <w:tab/>
        </w:r>
        <w:r>
          <w:rPr>
            <w:noProof/>
            <w:webHidden/>
          </w:rPr>
          <w:fldChar w:fldCharType="begin"/>
        </w:r>
        <w:r>
          <w:rPr>
            <w:noProof/>
            <w:webHidden/>
          </w:rPr>
          <w:instrText xml:space="preserve"> PAGEREF _Toc93568112 \h </w:instrText>
        </w:r>
        <w:r>
          <w:rPr>
            <w:noProof/>
            <w:webHidden/>
          </w:rPr>
        </w:r>
        <w:r>
          <w:rPr>
            <w:noProof/>
            <w:webHidden/>
          </w:rPr>
          <w:fldChar w:fldCharType="separate"/>
        </w:r>
        <w:r>
          <w:rPr>
            <w:noProof/>
            <w:webHidden/>
          </w:rPr>
          <w:t>6</w:t>
        </w:r>
        <w:r>
          <w:rPr>
            <w:noProof/>
            <w:webHidden/>
          </w:rPr>
          <w:fldChar w:fldCharType="end"/>
        </w:r>
      </w:hyperlink>
    </w:p>
    <w:p>
      <w:pPr>
        <w:pStyle w:val="TOC2"/>
        <w:tabs>
          <w:tab w:val="right" w:leader="dot" w:pos="9350"/>
        </w:tabs>
        <w:rPr>
          <w:rFonts w:asciiTheme="minorHAnsi" w:eastAsiaTheme="minorEastAsia" w:hAnsiTheme="minorHAnsi" w:cstheme="minorBidi"/>
          <w:bCs w:val="0"/>
          <w:noProof/>
          <w:sz w:val="22"/>
          <w:lang w:eastAsia="zh-TW"/>
        </w:rPr>
      </w:pPr>
      <w:hyperlink w:anchor="_Toc93568113" w:history="1">
        <w:r>
          <w:rPr>
            <w:rStyle w:val="Hyperlink"/>
            <w:rFonts w:eastAsia="Arial"/>
            <w:noProof/>
            <w:lang w:val="es-ES_tradnl"/>
          </w:rPr>
          <w:t>No olvide registrarse en PHMSA</w:t>
        </w:r>
        <w:r>
          <w:rPr>
            <w:noProof/>
            <w:webHidden/>
          </w:rPr>
          <w:tab/>
        </w:r>
        <w:r>
          <w:rPr>
            <w:noProof/>
            <w:webHidden/>
          </w:rPr>
          <w:fldChar w:fldCharType="begin"/>
        </w:r>
        <w:r>
          <w:rPr>
            <w:noProof/>
            <w:webHidden/>
          </w:rPr>
          <w:instrText xml:space="preserve"> PAGEREF _Toc93568113 \h </w:instrText>
        </w:r>
        <w:r>
          <w:rPr>
            <w:noProof/>
            <w:webHidden/>
          </w:rPr>
        </w:r>
        <w:r>
          <w:rPr>
            <w:noProof/>
            <w:webHidden/>
          </w:rPr>
          <w:fldChar w:fldCharType="separate"/>
        </w:r>
        <w:r>
          <w:rPr>
            <w:noProof/>
            <w:webHidden/>
          </w:rPr>
          <w:t>7</w:t>
        </w:r>
        <w:r>
          <w:rPr>
            <w:noProof/>
            <w:webHidden/>
          </w:rPr>
          <w:fldChar w:fldCharType="end"/>
        </w:r>
      </w:hyperlink>
    </w:p>
    <w:p>
      <w:pPr>
        <w:pStyle w:val="TOC1"/>
        <w:tabs>
          <w:tab w:val="right" w:leader="dot" w:pos="9350"/>
        </w:tabs>
        <w:rPr>
          <w:rFonts w:asciiTheme="minorHAnsi" w:eastAsiaTheme="minorEastAsia" w:hAnsiTheme="minorHAnsi" w:cstheme="minorBidi"/>
          <w:b w:val="0"/>
          <w:bCs w:val="0"/>
          <w:iCs w:val="0"/>
          <w:noProof/>
          <w:sz w:val="22"/>
          <w:szCs w:val="22"/>
          <w:lang w:eastAsia="zh-TW"/>
        </w:rPr>
      </w:pPr>
      <w:hyperlink w:anchor="_Toc93568114" w:history="1">
        <w:r>
          <w:rPr>
            <w:rStyle w:val="Hyperlink"/>
            <w:rFonts w:eastAsia="Arial"/>
            <w:noProof/>
            <w:lang w:val="es-ES_tradnl"/>
          </w:rPr>
          <w:t>El permiso de conducir comercial (Commercial Driver’s License, CDL) y el certificado de materiales peligrosos (HM)</w:t>
        </w:r>
        <w:r>
          <w:rPr>
            <w:noProof/>
            <w:webHidden/>
          </w:rPr>
          <w:tab/>
        </w:r>
        <w:r>
          <w:rPr>
            <w:noProof/>
            <w:webHidden/>
          </w:rPr>
          <w:fldChar w:fldCharType="begin"/>
        </w:r>
        <w:r>
          <w:rPr>
            <w:noProof/>
            <w:webHidden/>
          </w:rPr>
          <w:instrText xml:space="preserve"> PAGEREF _Toc93568114 \h </w:instrText>
        </w:r>
        <w:r>
          <w:rPr>
            <w:noProof/>
            <w:webHidden/>
          </w:rPr>
        </w:r>
        <w:r>
          <w:rPr>
            <w:noProof/>
            <w:webHidden/>
          </w:rPr>
          <w:fldChar w:fldCharType="separate"/>
        </w:r>
        <w:r>
          <w:rPr>
            <w:noProof/>
            <w:webHidden/>
          </w:rPr>
          <w:t>8</w:t>
        </w:r>
        <w:r>
          <w:rPr>
            <w:noProof/>
            <w:webHidden/>
          </w:rPr>
          <w:fldChar w:fldCharType="end"/>
        </w:r>
      </w:hyperlink>
    </w:p>
    <w:p>
      <w:pPr>
        <w:pStyle w:val="TOC2"/>
        <w:tabs>
          <w:tab w:val="right" w:leader="dot" w:pos="9350"/>
        </w:tabs>
        <w:rPr>
          <w:rFonts w:asciiTheme="minorHAnsi" w:eastAsiaTheme="minorEastAsia" w:hAnsiTheme="minorHAnsi" w:cstheme="minorBidi"/>
          <w:bCs w:val="0"/>
          <w:noProof/>
          <w:sz w:val="22"/>
          <w:lang w:eastAsia="zh-TW"/>
        </w:rPr>
      </w:pPr>
      <w:hyperlink w:anchor="_Toc93568115" w:history="1">
        <w:r>
          <w:rPr>
            <w:rStyle w:val="Hyperlink"/>
            <w:rFonts w:eastAsia="Arial"/>
            <w:noProof/>
            <w:lang w:val="es-ES_tradnl"/>
          </w:rPr>
          <w:t>¿Quién necesita obtener una aprobación para un CDL?</w:t>
        </w:r>
        <w:r>
          <w:rPr>
            <w:noProof/>
            <w:webHidden/>
          </w:rPr>
          <w:tab/>
        </w:r>
        <w:r>
          <w:rPr>
            <w:noProof/>
            <w:webHidden/>
          </w:rPr>
          <w:fldChar w:fldCharType="begin"/>
        </w:r>
        <w:r>
          <w:rPr>
            <w:noProof/>
            <w:webHidden/>
          </w:rPr>
          <w:instrText xml:space="preserve"> PAGEREF _Toc93568115 \h </w:instrText>
        </w:r>
        <w:r>
          <w:rPr>
            <w:noProof/>
            <w:webHidden/>
          </w:rPr>
        </w:r>
        <w:r>
          <w:rPr>
            <w:noProof/>
            <w:webHidden/>
          </w:rPr>
          <w:fldChar w:fldCharType="separate"/>
        </w:r>
        <w:r>
          <w:rPr>
            <w:noProof/>
            <w:webHidden/>
          </w:rPr>
          <w:t>8</w:t>
        </w:r>
        <w:r>
          <w:rPr>
            <w:noProof/>
            <w:webHidden/>
          </w:rPr>
          <w:fldChar w:fldCharType="end"/>
        </w:r>
      </w:hyperlink>
    </w:p>
    <w:p>
      <w:pPr>
        <w:pStyle w:val="TOC2"/>
        <w:tabs>
          <w:tab w:val="right" w:leader="dot" w:pos="9350"/>
        </w:tabs>
        <w:rPr>
          <w:rFonts w:asciiTheme="minorHAnsi" w:eastAsiaTheme="minorEastAsia" w:hAnsiTheme="minorHAnsi" w:cstheme="minorBidi"/>
          <w:bCs w:val="0"/>
          <w:noProof/>
          <w:sz w:val="22"/>
          <w:lang w:eastAsia="zh-TW"/>
        </w:rPr>
      </w:pPr>
      <w:hyperlink w:anchor="_Toc93568116" w:history="1">
        <w:r>
          <w:rPr>
            <w:rStyle w:val="Hyperlink"/>
            <w:rFonts w:eastAsia="Arial"/>
            <w:noProof/>
            <w:lang w:val="es-ES_tradnl"/>
          </w:rPr>
          <w:t>¿Cuáles son los requisitos de prueba para los certificados de CDL?</w:t>
        </w:r>
        <w:r>
          <w:rPr>
            <w:noProof/>
            <w:webHidden/>
          </w:rPr>
          <w:tab/>
        </w:r>
        <w:r>
          <w:rPr>
            <w:noProof/>
            <w:webHidden/>
          </w:rPr>
          <w:fldChar w:fldCharType="begin"/>
        </w:r>
        <w:r>
          <w:rPr>
            <w:noProof/>
            <w:webHidden/>
          </w:rPr>
          <w:instrText xml:space="preserve"> PAGEREF _Toc93568116 \h </w:instrText>
        </w:r>
        <w:r>
          <w:rPr>
            <w:noProof/>
            <w:webHidden/>
          </w:rPr>
        </w:r>
        <w:r>
          <w:rPr>
            <w:noProof/>
            <w:webHidden/>
          </w:rPr>
          <w:fldChar w:fldCharType="separate"/>
        </w:r>
        <w:r>
          <w:rPr>
            <w:noProof/>
            <w:webHidden/>
          </w:rPr>
          <w:t>8</w:t>
        </w:r>
        <w:r>
          <w:rPr>
            <w:noProof/>
            <w:webHidden/>
          </w:rPr>
          <w:fldChar w:fldCharType="end"/>
        </w:r>
      </w:hyperlink>
    </w:p>
    <w:p>
      <w:pPr>
        <w:pStyle w:val="TOC1"/>
        <w:tabs>
          <w:tab w:val="right" w:leader="dot" w:pos="9350"/>
        </w:tabs>
        <w:rPr>
          <w:rFonts w:asciiTheme="minorHAnsi" w:eastAsiaTheme="minorEastAsia" w:hAnsiTheme="minorHAnsi" w:cstheme="minorBidi"/>
          <w:b w:val="0"/>
          <w:bCs w:val="0"/>
          <w:iCs w:val="0"/>
          <w:noProof/>
          <w:sz w:val="22"/>
          <w:szCs w:val="22"/>
          <w:lang w:eastAsia="zh-TW"/>
        </w:rPr>
      </w:pPr>
      <w:hyperlink w:anchor="_Toc93568117" w:history="1">
        <w:r>
          <w:rPr>
            <w:rStyle w:val="Hyperlink"/>
            <w:rFonts w:eastAsia="Arial"/>
            <w:noProof/>
            <w:lang w:val="es-ES_tradnl"/>
          </w:rPr>
          <w:t>Capacitación</w:t>
        </w:r>
        <w:r>
          <w:rPr>
            <w:noProof/>
            <w:webHidden/>
          </w:rPr>
          <w:tab/>
        </w:r>
        <w:r>
          <w:rPr>
            <w:noProof/>
            <w:webHidden/>
          </w:rPr>
          <w:fldChar w:fldCharType="begin"/>
        </w:r>
        <w:r>
          <w:rPr>
            <w:noProof/>
            <w:webHidden/>
          </w:rPr>
          <w:instrText xml:space="preserve"> PAGEREF _Toc93568117 \h </w:instrText>
        </w:r>
        <w:r>
          <w:rPr>
            <w:noProof/>
            <w:webHidden/>
          </w:rPr>
        </w:r>
        <w:r>
          <w:rPr>
            <w:noProof/>
            <w:webHidden/>
          </w:rPr>
          <w:fldChar w:fldCharType="separate"/>
        </w:r>
        <w:r>
          <w:rPr>
            <w:noProof/>
            <w:webHidden/>
          </w:rPr>
          <w:t>9</w:t>
        </w:r>
        <w:r>
          <w:rPr>
            <w:noProof/>
            <w:webHidden/>
          </w:rPr>
          <w:fldChar w:fldCharType="end"/>
        </w:r>
      </w:hyperlink>
    </w:p>
    <w:p>
      <w:pPr>
        <w:pStyle w:val="TOC2"/>
        <w:tabs>
          <w:tab w:val="right" w:leader="dot" w:pos="9350"/>
        </w:tabs>
        <w:rPr>
          <w:rFonts w:asciiTheme="minorHAnsi" w:eastAsiaTheme="minorEastAsia" w:hAnsiTheme="minorHAnsi" w:cstheme="minorBidi"/>
          <w:bCs w:val="0"/>
          <w:noProof/>
          <w:sz w:val="22"/>
          <w:lang w:eastAsia="zh-TW"/>
        </w:rPr>
      </w:pPr>
      <w:hyperlink w:anchor="_Toc93568118" w:history="1">
        <w:r>
          <w:rPr>
            <w:rStyle w:val="Hyperlink"/>
            <w:rFonts w:eastAsia="Arial"/>
            <w:noProof/>
            <w:lang w:val="es-ES_tradnl"/>
          </w:rPr>
          <w:t>¿Qué capacitación se necesita?</w:t>
        </w:r>
        <w:r>
          <w:rPr>
            <w:noProof/>
            <w:webHidden/>
          </w:rPr>
          <w:tab/>
        </w:r>
        <w:r>
          <w:rPr>
            <w:noProof/>
            <w:webHidden/>
          </w:rPr>
          <w:fldChar w:fldCharType="begin"/>
        </w:r>
        <w:r>
          <w:rPr>
            <w:noProof/>
            <w:webHidden/>
          </w:rPr>
          <w:instrText xml:space="preserve"> PAGEREF _Toc93568118 \h </w:instrText>
        </w:r>
        <w:r>
          <w:rPr>
            <w:noProof/>
            <w:webHidden/>
          </w:rPr>
        </w:r>
        <w:r>
          <w:rPr>
            <w:noProof/>
            <w:webHidden/>
          </w:rPr>
          <w:fldChar w:fldCharType="separate"/>
        </w:r>
        <w:r>
          <w:rPr>
            <w:noProof/>
            <w:webHidden/>
          </w:rPr>
          <w:t>9</w:t>
        </w:r>
        <w:r>
          <w:rPr>
            <w:noProof/>
            <w:webHidden/>
          </w:rPr>
          <w:fldChar w:fldCharType="end"/>
        </w:r>
      </w:hyperlink>
    </w:p>
    <w:p>
      <w:pPr>
        <w:pStyle w:val="TOC2"/>
        <w:tabs>
          <w:tab w:val="right" w:leader="dot" w:pos="9350"/>
        </w:tabs>
        <w:rPr>
          <w:rFonts w:asciiTheme="minorHAnsi" w:eastAsiaTheme="minorEastAsia" w:hAnsiTheme="minorHAnsi" w:cstheme="minorBidi"/>
          <w:bCs w:val="0"/>
          <w:noProof/>
          <w:sz w:val="22"/>
          <w:lang w:eastAsia="zh-TW"/>
        </w:rPr>
      </w:pPr>
      <w:hyperlink w:anchor="_Toc93568119" w:history="1">
        <w:r>
          <w:rPr>
            <w:rStyle w:val="Hyperlink"/>
            <w:rFonts w:eastAsia="Arial"/>
            <w:noProof/>
            <w:lang w:val="es-ES_tradnl"/>
          </w:rPr>
          <w:t>¿Qué capacitación especializada debe completar un conductor?</w:t>
        </w:r>
        <w:r>
          <w:rPr>
            <w:noProof/>
            <w:webHidden/>
          </w:rPr>
          <w:tab/>
        </w:r>
        <w:r>
          <w:rPr>
            <w:noProof/>
            <w:webHidden/>
          </w:rPr>
          <w:fldChar w:fldCharType="begin"/>
        </w:r>
        <w:r>
          <w:rPr>
            <w:noProof/>
            <w:webHidden/>
          </w:rPr>
          <w:instrText xml:space="preserve"> PAGEREF _Toc93568119 \h </w:instrText>
        </w:r>
        <w:r>
          <w:rPr>
            <w:noProof/>
            <w:webHidden/>
          </w:rPr>
        </w:r>
        <w:r>
          <w:rPr>
            <w:noProof/>
            <w:webHidden/>
          </w:rPr>
          <w:fldChar w:fldCharType="separate"/>
        </w:r>
        <w:r>
          <w:rPr>
            <w:noProof/>
            <w:webHidden/>
          </w:rPr>
          <w:t>9</w:t>
        </w:r>
        <w:r>
          <w:rPr>
            <w:noProof/>
            <w:webHidden/>
          </w:rPr>
          <w:fldChar w:fldCharType="end"/>
        </w:r>
      </w:hyperlink>
    </w:p>
    <w:p>
      <w:pPr>
        <w:pStyle w:val="TOC2"/>
        <w:tabs>
          <w:tab w:val="right" w:leader="dot" w:pos="9350"/>
        </w:tabs>
        <w:rPr>
          <w:rFonts w:asciiTheme="minorHAnsi" w:eastAsiaTheme="minorEastAsia" w:hAnsiTheme="minorHAnsi" w:cstheme="minorBidi"/>
          <w:bCs w:val="0"/>
          <w:noProof/>
          <w:sz w:val="22"/>
          <w:lang w:eastAsia="zh-TW"/>
        </w:rPr>
      </w:pPr>
      <w:hyperlink w:anchor="_Toc93568120" w:history="1">
        <w:r>
          <w:rPr>
            <w:rStyle w:val="Hyperlink"/>
            <w:rFonts w:eastAsia="Arial"/>
            <w:noProof/>
            <w:lang w:val="es-ES_tradnl"/>
          </w:rPr>
          <w:t>¿Tengo que mantener registros de capacitación?</w:t>
        </w:r>
        <w:r>
          <w:rPr>
            <w:noProof/>
            <w:webHidden/>
          </w:rPr>
          <w:tab/>
        </w:r>
        <w:r>
          <w:rPr>
            <w:noProof/>
            <w:webHidden/>
          </w:rPr>
          <w:fldChar w:fldCharType="begin"/>
        </w:r>
        <w:r>
          <w:rPr>
            <w:noProof/>
            <w:webHidden/>
          </w:rPr>
          <w:instrText xml:space="preserve"> PAGEREF _Toc93568120 \h </w:instrText>
        </w:r>
        <w:r>
          <w:rPr>
            <w:noProof/>
            <w:webHidden/>
          </w:rPr>
        </w:r>
        <w:r>
          <w:rPr>
            <w:noProof/>
            <w:webHidden/>
          </w:rPr>
          <w:fldChar w:fldCharType="separate"/>
        </w:r>
        <w:r>
          <w:rPr>
            <w:noProof/>
            <w:webHidden/>
          </w:rPr>
          <w:t>10</w:t>
        </w:r>
        <w:r>
          <w:rPr>
            <w:noProof/>
            <w:webHidden/>
          </w:rPr>
          <w:fldChar w:fldCharType="end"/>
        </w:r>
      </w:hyperlink>
    </w:p>
    <w:p>
      <w:pPr>
        <w:pStyle w:val="TOC1"/>
        <w:tabs>
          <w:tab w:val="right" w:leader="dot" w:pos="9350"/>
        </w:tabs>
        <w:rPr>
          <w:rFonts w:asciiTheme="minorHAnsi" w:eastAsiaTheme="minorEastAsia" w:hAnsiTheme="minorHAnsi" w:cstheme="minorBidi"/>
          <w:b w:val="0"/>
          <w:bCs w:val="0"/>
          <w:iCs w:val="0"/>
          <w:noProof/>
          <w:sz w:val="22"/>
          <w:szCs w:val="22"/>
          <w:lang w:eastAsia="zh-TW"/>
        </w:rPr>
      </w:pPr>
      <w:hyperlink w:anchor="_Toc93568121" w:history="1">
        <w:r>
          <w:rPr>
            <w:rStyle w:val="Hyperlink"/>
            <w:rFonts w:eastAsia="Arial"/>
            <w:noProof/>
            <w:lang w:val="es-ES_tradnl"/>
          </w:rPr>
          <w:t>Requisitos de registro de PHMSA</w:t>
        </w:r>
        <w:r>
          <w:rPr>
            <w:noProof/>
            <w:webHidden/>
          </w:rPr>
          <w:tab/>
        </w:r>
        <w:r>
          <w:rPr>
            <w:noProof/>
            <w:webHidden/>
          </w:rPr>
          <w:fldChar w:fldCharType="begin"/>
        </w:r>
        <w:r>
          <w:rPr>
            <w:noProof/>
            <w:webHidden/>
          </w:rPr>
          <w:instrText xml:space="preserve"> PAGEREF _Toc93568121 \h </w:instrText>
        </w:r>
        <w:r>
          <w:rPr>
            <w:noProof/>
            <w:webHidden/>
          </w:rPr>
        </w:r>
        <w:r>
          <w:rPr>
            <w:noProof/>
            <w:webHidden/>
          </w:rPr>
          <w:fldChar w:fldCharType="separate"/>
        </w:r>
        <w:r>
          <w:rPr>
            <w:noProof/>
            <w:webHidden/>
          </w:rPr>
          <w:t>11</w:t>
        </w:r>
        <w:r>
          <w:rPr>
            <w:noProof/>
            <w:webHidden/>
          </w:rPr>
          <w:fldChar w:fldCharType="end"/>
        </w:r>
      </w:hyperlink>
    </w:p>
    <w:p>
      <w:pPr>
        <w:pStyle w:val="TOC2"/>
        <w:tabs>
          <w:tab w:val="right" w:leader="dot" w:pos="9350"/>
        </w:tabs>
        <w:rPr>
          <w:rFonts w:asciiTheme="minorHAnsi" w:eastAsiaTheme="minorEastAsia" w:hAnsiTheme="minorHAnsi" w:cstheme="minorBidi"/>
          <w:bCs w:val="0"/>
          <w:noProof/>
          <w:sz w:val="22"/>
          <w:lang w:eastAsia="zh-TW"/>
        </w:rPr>
      </w:pPr>
      <w:hyperlink w:anchor="_Toc93568122" w:history="1">
        <w:r>
          <w:rPr>
            <w:rStyle w:val="Hyperlink"/>
            <w:rFonts w:eastAsia="Arial"/>
            <w:noProof/>
            <w:lang w:val="es-ES_tradnl"/>
          </w:rPr>
          <w:t>¿Quién debe registrarse en PHMSA?</w:t>
        </w:r>
        <w:r>
          <w:rPr>
            <w:noProof/>
            <w:webHidden/>
          </w:rPr>
          <w:tab/>
        </w:r>
        <w:r>
          <w:rPr>
            <w:noProof/>
            <w:webHidden/>
          </w:rPr>
          <w:fldChar w:fldCharType="begin"/>
        </w:r>
        <w:r>
          <w:rPr>
            <w:noProof/>
            <w:webHidden/>
          </w:rPr>
          <w:instrText xml:space="preserve"> PAGEREF _Toc93568122 \h </w:instrText>
        </w:r>
        <w:r>
          <w:rPr>
            <w:noProof/>
            <w:webHidden/>
          </w:rPr>
        </w:r>
        <w:r>
          <w:rPr>
            <w:noProof/>
            <w:webHidden/>
          </w:rPr>
          <w:fldChar w:fldCharType="separate"/>
        </w:r>
        <w:r>
          <w:rPr>
            <w:noProof/>
            <w:webHidden/>
          </w:rPr>
          <w:t>11</w:t>
        </w:r>
        <w:r>
          <w:rPr>
            <w:noProof/>
            <w:webHidden/>
          </w:rPr>
          <w:fldChar w:fldCharType="end"/>
        </w:r>
      </w:hyperlink>
    </w:p>
    <w:p>
      <w:pPr>
        <w:pStyle w:val="TOC2"/>
        <w:tabs>
          <w:tab w:val="right" w:leader="dot" w:pos="9350"/>
        </w:tabs>
        <w:rPr>
          <w:rFonts w:asciiTheme="minorHAnsi" w:eastAsiaTheme="minorEastAsia" w:hAnsiTheme="minorHAnsi" w:cstheme="minorBidi"/>
          <w:bCs w:val="0"/>
          <w:noProof/>
          <w:sz w:val="22"/>
          <w:lang w:eastAsia="zh-TW"/>
        </w:rPr>
      </w:pPr>
      <w:hyperlink w:anchor="_Toc93568123" w:history="1">
        <w:r>
          <w:rPr>
            <w:rStyle w:val="Hyperlink"/>
            <w:rFonts w:eastAsia="Arial"/>
            <w:noProof/>
            <w:lang w:val="es-ES_tradnl"/>
          </w:rPr>
          <w:t>¿Existen excepciones al registro de PHMSA?</w:t>
        </w:r>
        <w:r>
          <w:rPr>
            <w:noProof/>
            <w:webHidden/>
          </w:rPr>
          <w:tab/>
        </w:r>
        <w:r>
          <w:rPr>
            <w:noProof/>
            <w:webHidden/>
          </w:rPr>
          <w:fldChar w:fldCharType="begin"/>
        </w:r>
        <w:r>
          <w:rPr>
            <w:noProof/>
            <w:webHidden/>
          </w:rPr>
          <w:instrText xml:space="preserve"> PAGEREF _Toc93568123 \h </w:instrText>
        </w:r>
        <w:r>
          <w:rPr>
            <w:noProof/>
            <w:webHidden/>
          </w:rPr>
        </w:r>
        <w:r>
          <w:rPr>
            <w:noProof/>
            <w:webHidden/>
          </w:rPr>
          <w:fldChar w:fldCharType="separate"/>
        </w:r>
        <w:r>
          <w:rPr>
            <w:noProof/>
            <w:webHidden/>
          </w:rPr>
          <w:t>12</w:t>
        </w:r>
        <w:r>
          <w:rPr>
            <w:noProof/>
            <w:webHidden/>
          </w:rPr>
          <w:fldChar w:fldCharType="end"/>
        </w:r>
      </w:hyperlink>
    </w:p>
    <w:p>
      <w:pPr>
        <w:pStyle w:val="TOC2"/>
        <w:tabs>
          <w:tab w:val="right" w:leader="dot" w:pos="9350"/>
        </w:tabs>
        <w:rPr>
          <w:rFonts w:asciiTheme="minorHAnsi" w:eastAsiaTheme="minorEastAsia" w:hAnsiTheme="minorHAnsi" w:cstheme="minorBidi"/>
          <w:bCs w:val="0"/>
          <w:noProof/>
          <w:sz w:val="22"/>
          <w:lang w:eastAsia="zh-TW"/>
        </w:rPr>
      </w:pPr>
      <w:hyperlink w:anchor="_Toc93568124" w:history="1">
        <w:r>
          <w:rPr>
            <w:rStyle w:val="Hyperlink"/>
            <w:rFonts w:eastAsia="Arial"/>
            <w:noProof/>
            <w:lang w:val="es-ES_tradnl"/>
          </w:rPr>
          <w:t>¿Cómo me inscribo? ¿Se debe abonar alguna tarifa?</w:t>
        </w:r>
        <w:r>
          <w:rPr>
            <w:noProof/>
            <w:webHidden/>
          </w:rPr>
          <w:tab/>
        </w:r>
        <w:r>
          <w:rPr>
            <w:noProof/>
            <w:webHidden/>
          </w:rPr>
          <w:fldChar w:fldCharType="begin"/>
        </w:r>
        <w:r>
          <w:rPr>
            <w:noProof/>
            <w:webHidden/>
          </w:rPr>
          <w:instrText xml:space="preserve"> PAGEREF _Toc93568124 \h </w:instrText>
        </w:r>
        <w:r>
          <w:rPr>
            <w:noProof/>
            <w:webHidden/>
          </w:rPr>
        </w:r>
        <w:r>
          <w:rPr>
            <w:noProof/>
            <w:webHidden/>
          </w:rPr>
          <w:fldChar w:fldCharType="separate"/>
        </w:r>
        <w:r>
          <w:rPr>
            <w:noProof/>
            <w:webHidden/>
          </w:rPr>
          <w:t>12</w:t>
        </w:r>
        <w:r>
          <w:rPr>
            <w:noProof/>
            <w:webHidden/>
          </w:rPr>
          <w:fldChar w:fldCharType="end"/>
        </w:r>
      </w:hyperlink>
    </w:p>
    <w:p>
      <w:pPr>
        <w:pStyle w:val="TOC1"/>
        <w:tabs>
          <w:tab w:val="right" w:leader="dot" w:pos="9350"/>
        </w:tabs>
        <w:rPr>
          <w:rFonts w:asciiTheme="minorHAnsi" w:eastAsiaTheme="minorEastAsia" w:hAnsiTheme="minorHAnsi" w:cstheme="minorBidi"/>
          <w:b w:val="0"/>
          <w:bCs w:val="0"/>
          <w:iCs w:val="0"/>
          <w:noProof/>
          <w:sz w:val="22"/>
          <w:szCs w:val="22"/>
          <w:lang w:eastAsia="zh-TW"/>
        </w:rPr>
      </w:pPr>
      <w:hyperlink w:anchor="_Toc93568125" w:history="1">
        <w:r>
          <w:rPr>
            <w:rStyle w:val="Hyperlink"/>
            <w:rFonts w:eastAsia="Arial"/>
            <w:noProof/>
            <w:lang w:val="es-ES_tradnl"/>
          </w:rPr>
          <w:t>¿Tiene alguna pregunta?</w:t>
        </w:r>
        <w:r>
          <w:rPr>
            <w:noProof/>
            <w:webHidden/>
          </w:rPr>
          <w:tab/>
        </w:r>
        <w:r>
          <w:rPr>
            <w:noProof/>
            <w:webHidden/>
          </w:rPr>
          <w:fldChar w:fldCharType="begin"/>
        </w:r>
        <w:r>
          <w:rPr>
            <w:noProof/>
            <w:webHidden/>
          </w:rPr>
          <w:instrText xml:space="preserve"> PAGEREF _Toc93568125 \h </w:instrText>
        </w:r>
        <w:r>
          <w:rPr>
            <w:noProof/>
            <w:webHidden/>
          </w:rPr>
        </w:r>
        <w:r>
          <w:rPr>
            <w:noProof/>
            <w:webHidden/>
          </w:rPr>
          <w:fldChar w:fldCharType="separate"/>
        </w:r>
        <w:r>
          <w:rPr>
            <w:noProof/>
            <w:webHidden/>
          </w:rPr>
          <w:t>13</w:t>
        </w:r>
        <w:r>
          <w:rPr>
            <w:noProof/>
            <w:webHidden/>
          </w:rPr>
          <w:fldChar w:fldCharType="end"/>
        </w:r>
      </w:hyperlink>
    </w:p>
    <w:p>
      <w:pPr>
        <w:pStyle w:val="CommentSubject"/>
      </w:pPr>
      <w:r>
        <w:rPr>
          <w:rFonts w:asciiTheme="minorHAnsi" w:eastAsiaTheme="minorEastAsia" w:hAnsiTheme="minorHAnsi" w:cs="Calibri Light (Headings)"/>
          <w:i/>
          <w:noProof/>
          <w:color w:val="001F5B"/>
          <w:sz w:val="24"/>
          <w:szCs w:val="24"/>
        </w:rPr>
        <w:fldChar w:fldCharType="end"/>
      </w:r>
      <w:r>
        <w:br w:type="page"/>
      </w:r>
    </w:p>
    <w:p>
      <w:pPr>
        <w:pStyle w:val="Heading1"/>
        <w:rPr>
          <w:lang w:val="es-AR"/>
        </w:rPr>
      </w:pPr>
      <w:bookmarkStart w:id="1" w:name="_Toc93568105"/>
      <w:r>
        <w:rPr>
          <w:rFonts w:eastAsia="Arial"/>
          <w:color w:val="FFFFFF"/>
          <w:szCs w:val="26"/>
          <w:lang w:val="es-ES_tradnl"/>
        </w:rPr>
        <w:lastRenderedPageBreak/>
        <w:t>Introducción</w:t>
      </w:r>
      <w:bookmarkEnd w:id="1"/>
    </w:p>
    <w:p>
      <w:pPr>
        <w:rPr>
          <w:lang w:val="es-AR"/>
        </w:rPr>
      </w:pPr>
    </w:p>
    <w:p>
      <w:pPr>
        <w:pStyle w:val="BodyText"/>
        <w:rPr>
          <w:i/>
          <w:iCs/>
          <w:lang w:val="es-ES"/>
        </w:rPr>
      </w:pPr>
      <w:r>
        <w:rPr>
          <w:rFonts w:eastAsia="Arial"/>
          <w:i/>
          <w:iCs/>
          <w:lang w:val="es-ES_tradnl"/>
        </w:rPr>
        <w:t>Este documento proporciona una breve descripción general de los requisitos básicos y no sustituye las Regulaciones Federales de Seguridad de Autotransporte (Federal Motor Carrier Safety Regulations, FMCSR) o las Normas de Materiales Peligrosos (Hazardous Materials Regulations, HMR) establecidas en el Título 49 del Código de Regulaciones Federales de EE. UU. (49 CFR).</w:t>
      </w:r>
    </w:p>
    <w:p>
      <w:pPr>
        <w:pStyle w:val="BodyText"/>
        <w:rPr>
          <w:lang w:val="es-ES"/>
        </w:rPr>
      </w:pPr>
    </w:p>
    <w:p>
      <w:pPr>
        <w:pStyle w:val="BodyText"/>
        <w:rPr>
          <w:sz w:val="22"/>
          <w:szCs w:val="22"/>
          <w:lang w:val="es-AR"/>
        </w:rPr>
      </w:pPr>
      <w:r>
        <w:rPr>
          <w:rFonts w:eastAsia="Arial"/>
          <w:sz w:val="22"/>
          <w:szCs w:val="22"/>
          <w:lang w:val="es-ES_tradnl"/>
        </w:rPr>
        <w:t>Si desea convertirse en un autotransportista que transporta materiales peligrosos por carretera, debe cumplir con una serie de requisitos importantes de seguridad y registro.</w:t>
      </w:r>
    </w:p>
    <w:p>
      <w:pPr>
        <w:pStyle w:val="BodyText"/>
        <w:rPr>
          <w:sz w:val="22"/>
          <w:szCs w:val="22"/>
          <w:lang w:val="es-AR"/>
        </w:rPr>
      </w:pPr>
    </w:p>
    <w:p>
      <w:pPr>
        <w:pStyle w:val="BodyText"/>
        <w:rPr>
          <w:lang w:val="es-AR"/>
        </w:rPr>
      </w:pPr>
      <w:r>
        <w:rPr>
          <w:noProof/>
          <w:sz w:val="22"/>
          <w:szCs w:val="22"/>
          <w:lang w:eastAsia="zh-TW"/>
        </w:rPr>
        <mc:AlternateContent>
          <mc:Choice Requires="wps">
            <w:drawing>
              <wp:anchor distT="0" distB="0" distL="114300" distR="114300" simplePos="0" relativeHeight="251659264" behindDoc="1" locked="0" layoutInCell="1" allowOverlap="1">
                <wp:simplePos x="0" y="0"/>
                <wp:positionH relativeFrom="column">
                  <wp:posOffset>3426402</wp:posOffset>
                </wp:positionH>
                <wp:positionV relativeFrom="paragraph">
                  <wp:posOffset>58420</wp:posOffset>
                </wp:positionV>
                <wp:extent cx="2593340" cy="3806825"/>
                <wp:effectExtent l="0" t="0" r="0" b="3175"/>
                <wp:wrapTight wrapText="bothSides">
                  <wp:wrapPolygon edited="0">
                    <wp:start x="0" y="0"/>
                    <wp:lineTo x="0" y="21544"/>
                    <wp:lineTo x="21473" y="21544"/>
                    <wp:lineTo x="21473" y="0"/>
                    <wp:lineTo x="0" y="0"/>
                  </wp:wrapPolygon>
                </wp:wrapTight>
                <wp:docPr id="1" name="Rectangle 1"/>
                <wp:cNvGraphicFramePr/>
                <a:graphic xmlns:a="http://schemas.openxmlformats.org/drawingml/2006/main">
                  <a:graphicData uri="http://schemas.microsoft.com/office/word/2010/wordprocessingShape">
                    <wps:wsp>
                      <wps:cNvSpPr/>
                      <wps:spPr>
                        <a:xfrm>
                          <a:off x="0" y="0"/>
                          <a:ext cx="2593340" cy="380682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color w:val="EEB111" w:themeColor="accent2"/>
                                <w:sz w:val="22"/>
                                <w:szCs w:val="22"/>
                                <w:lang w:val="es-AR"/>
                              </w:rPr>
                            </w:pPr>
                            <w:r>
                              <w:rPr>
                                <w:rFonts w:eastAsia="Arial"/>
                                <w:sz w:val="22"/>
                                <w:szCs w:val="22"/>
                                <w:lang w:val="es-ES_tradnl"/>
                              </w:rPr>
                              <w:t xml:space="preserve">La información del Programa de transporte de materiales peligrosos de la FMCSA se encuentra disponible en: </w:t>
                            </w:r>
                            <w:hyperlink r:id="rId12" w:history="1">
                              <w:r>
                                <w:rPr>
                                  <w:rFonts w:eastAsia="Arial"/>
                                  <w:b/>
                                  <w:bCs/>
                                  <w:color w:val="EEB111"/>
                                  <w:sz w:val="22"/>
                                  <w:szCs w:val="22"/>
                                  <w:lang w:val="es-ES_tradnl"/>
                                </w:rPr>
                                <w:t>www.fmcsa.dot.gov/regulations/</w:t>
                              </w:r>
                              <w:r>
                                <w:rPr>
                                  <w:rFonts w:eastAsia="Arial"/>
                                  <w:b/>
                                  <w:bCs/>
                                  <w:color w:val="EEB111"/>
                                  <w:sz w:val="22"/>
                                  <w:szCs w:val="22"/>
                                  <w:lang w:val="es-ES_tradnl"/>
                                </w:rPr>
                                <w:br/>
                                <w:t>hazardous-materials</w:t>
                              </w:r>
                            </w:hyperlink>
                          </w:p>
                          <w:p>
                            <w:pPr>
                              <w:spacing w:before="120" w:after="120"/>
                              <w:jc w:val="center"/>
                              <w:rPr>
                                <w:sz w:val="22"/>
                                <w:szCs w:val="22"/>
                                <w:lang w:val="es-AR"/>
                              </w:rPr>
                            </w:pPr>
                            <w:r>
                              <w:rPr>
                                <w:sz w:val="22"/>
                                <w:szCs w:val="22"/>
                                <w:lang w:val="es-AR"/>
                              </w:rPr>
                              <w:t>---</w:t>
                            </w:r>
                          </w:p>
                          <w:p>
                            <w:pPr>
                              <w:jc w:val="center"/>
                              <w:rPr>
                                <w:b/>
                                <w:bCs/>
                                <w:color w:val="EEB111" w:themeColor="accent2"/>
                                <w:sz w:val="22"/>
                                <w:szCs w:val="22"/>
                                <w:lang w:val="es-AR"/>
                              </w:rPr>
                            </w:pPr>
                            <w:r>
                              <w:rPr>
                                <w:rFonts w:eastAsia="Arial"/>
                                <w:sz w:val="22"/>
                                <w:szCs w:val="22"/>
                                <w:lang w:val="es-ES_tradnl"/>
                              </w:rPr>
                              <w:t xml:space="preserve">La información de </w:t>
                            </w:r>
                            <w:r>
                              <w:rPr>
                                <w:rFonts w:eastAsia="Arial"/>
                                <w:sz w:val="22"/>
                                <w:szCs w:val="22"/>
                                <w:lang w:val="es-ES_tradnl"/>
                              </w:rPr>
                              <w:br/>
                              <w:t xml:space="preserve">seguridad de la Oficina de Materiales </w:t>
                            </w:r>
                            <w:r>
                              <w:rPr>
                                <w:rFonts w:eastAsia="Arial"/>
                                <w:sz w:val="22"/>
                                <w:szCs w:val="22"/>
                                <w:lang w:val="es-ES_tradnl"/>
                              </w:rPr>
                              <w:br/>
                              <w:t xml:space="preserve">Peligrosos de la PHMSA se encuentra disponible en: </w:t>
                            </w:r>
                            <w:hyperlink r:id="rId13" w:history="1">
                              <w:r>
                                <w:rPr>
                                  <w:rFonts w:eastAsia="Arial"/>
                                  <w:b/>
                                  <w:bCs/>
                                  <w:color w:val="EEB111"/>
                                  <w:sz w:val="22"/>
                                  <w:szCs w:val="22"/>
                                  <w:lang w:val="es-ES_tradnl"/>
                                </w:rPr>
                                <w:t>www.phmsa.dot.gov/about-phmsa/offices/office-hazardous-materials-safety</w:t>
                              </w:r>
                            </w:hyperlink>
                            <w:r>
                              <w:rPr>
                                <w:rFonts w:eastAsia="Arial"/>
                                <w:color w:val="EEB111"/>
                                <w:sz w:val="22"/>
                                <w:szCs w:val="22"/>
                                <w:lang w:val="es-ES_tradnl"/>
                              </w:rPr>
                              <w:br/>
                            </w:r>
                            <w:r>
                              <w:rPr>
                                <w:rFonts w:eastAsia="Arial"/>
                                <w:sz w:val="22"/>
                                <w:szCs w:val="22"/>
                                <w:lang w:val="es-ES_tradnl"/>
                              </w:rPr>
                              <w:br/>
                              <w:t xml:space="preserve">o el Centro de información de Materiales Peligrosos de la PHMSA en: </w:t>
                            </w:r>
                            <w:r>
                              <w:rPr>
                                <w:rFonts w:eastAsia="Arial"/>
                                <w:sz w:val="22"/>
                                <w:szCs w:val="22"/>
                                <w:lang w:val="es-ES_tradnl"/>
                              </w:rPr>
                              <w:br/>
                            </w:r>
                            <w:r>
                              <w:rPr>
                                <w:rFonts w:eastAsia="Arial"/>
                                <w:b/>
                                <w:bCs/>
                                <w:color w:val="EEB111"/>
                                <w:sz w:val="22"/>
                                <w:szCs w:val="22"/>
                                <w:lang w:val="es-ES_tradnl"/>
                              </w:rPr>
                              <w:t>202-366-4488 o</w:t>
                            </w:r>
                          </w:p>
                          <w:p>
                            <w:pPr>
                              <w:jc w:val="center"/>
                            </w:pPr>
                            <w:r>
                              <w:rPr>
                                <w:rFonts w:eastAsia="Arial"/>
                                <w:b/>
                                <w:bCs/>
                                <w:color w:val="EEB111"/>
                                <w:sz w:val="22"/>
                                <w:szCs w:val="22"/>
                                <w:lang w:val="es-ES_tradnl"/>
                              </w:rPr>
                              <w:t>800-467-4922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269.8pt;margin-top:4.6pt;width:204.2pt;height:299.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" fillcolor="#001647 [3204]" stroked="f" strokeweight="1pt">
                <v:textbox>
                  <w:txbxContent>
                    <w:p>
                      <w:pPr>
                        <w:jc w:val="center"/>
                        <w:rPr>
                          <w:color w:val="EEB111" w:themeColor="accent2"/>
                          <w:sz w:val="22"/>
                          <w:szCs w:val="22"/>
                          <w:lang w:val="es-AR"/>
                        </w:rPr>
                      </w:pPr>
                      <w:r>
                        <w:rPr>
                          <w:rFonts w:eastAsia="Arial"/>
                          <w:sz w:val="22"/>
                          <w:szCs w:val="22"/>
                          <w:lang w:val="es-ES_tradnl"/>
                        </w:rPr>
                        <w:t xml:space="preserve">La información del Programa de transporte de materiales peligrosos de la </w:t>
                      </w:r>
                      <w:proofErr w:type="spellStart"/>
                      <w:r>
                        <w:rPr>
                          <w:rFonts w:eastAsia="Arial"/>
                          <w:sz w:val="22"/>
                          <w:szCs w:val="22"/>
                          <w:lang w:val="es-ES_tradnl"/>
                        </w:rPr>
                        <w:t>FMCSA</w:t>
                      </w:r>
                      <w:proofErr w:type="spellEnd"/>
                      <w:r>
                        <w:rPr>
                          <w:rFonts w:eastAsia="Arial"/>
                          <w:sz w:val="22"/>
                          <w:szCs w:val="22"/>
                          <w:lang w:val="es-ES_tradnl"/>
                        </w:rPr>
                        <w:t xml:space="preserve"> se encuentra disponible en: </w:t>
                      </w:r>
                      <w:hyperlink r:id="rId14" w:history="1">
                        <w:r>
                          <w:rPr>
                            <w:rFonts w:eastAsia="Arial"/>
                            <w:b/>
                            <w:bCs/>
                            <w:color w:val="EEB111"/>
                            <w:sz w:val="22"/>
                            <w:szCs w:val="22"/>
                            <w:lang w:val="es-ES_tradnl"/>
                          </w:rPr>
                          <w:t>www.fmcsa.dot.gov/regulations/</w:t>
                        </w:r>
                        <w:r>
                          <w:rPr>
                            <w:rFonts w:eastAsia="Arial"/>
                            <w:b/>
                            <w:bCs/>
                            <w:color w:val="EEB111"/>
                            <w:sz w:val="22"/>
                            <w:szCs w:val="22"/>
                            <w:lang w:val="es-ES_tradnl"/>
                          </w:rPr>
                          <w:br/>
                        </w:r>
                        <w:proofErr w:type="spellStart"/>
                        <w:r>
                          <w:rPr>
                            <w:rFonts w:eastAsia="Arial"/>
                            <w:b/>
                            <w:bCs/>
                            <w:color w:val="EEB111"/>
                            <w:sz w:val="22"/>
                            <w:szCs w:val="22"/>
                            <w:lang w:val="es-ES_tradnl"/>
                          </w:rPr>
                          <w:t>hazardous-materials</w:t>
                        </w:r>
                        <w:proofErr w:type="spellEnd"/>
                      </w:hyperlink>
                    </w:p>
                    <w:p>
                      <w:pPr>
                        <w:spacing w:before="120" w:after="120"/>
                        <w:jc w:val="center"/>
                        <w:rPr>
                          <w:sz w:val="22"/>
                          <w:szCs w:val="22"/>
                          <w:lang w:val="es-AR"/>
                        </w:rPr>
                      </w:pPr>
                      <w:r>
                        <w:rPr>
                          <w:sz w:val="22"/>
                          <w:szCs w:val="22"/>
                          <w:lang w:val="es-AR"/>
                        </w:rPr>
                        <w:t>---</w:t>
                      </w:r>
                    </w:p>
                    <w:p>
                      <w:pPr>
                        <w:jc w:val="center"/>
                        <w:rPr>
                          <w:b/>
                          <w:bCs/>
                          <w:color w:val="EEB111" w:themeColor="accent2"/>
                          <w:sz w:val="22"/>
                          <w:szCs w:val="22"/>
                          <w:lang w:val="es-AR"/>
                        </w:rPr>
                      </w:pPr>
                      <w:r>
                        <w:rPr>
                          <w:rFonts w:eastAsia="Arial"/>
                          <w:sz w:val="22"/>
                          <w:szCs w:val="22"/>
                          <w:lang w:val="es-ES_tradnl"/>
                        </w:rPr>
                        <w:t xml:space="preserve">La información de </w:t>
                      </w:r>
                      <w:r>
                        <w:rPr>
                          <w:rFonts w:eastAsia="Arial"/>
                          <w:sz w:val="22"/>
                          <w:szCs w:val="22"/>
                          <w:lang w:val="es-ES_tradnl"/>
                        </w:rPr>
                        <w:br/>
                        <w:t xml:space="preserve">seguridad de la Oficina de Materiales </w:t>
                      </w:r>
                      <w:r>
                        <w:rPr>
                          <w:rFonts w:eastAsia="Arial"/>
                          <w:sz w:val="22"/>
                          <w:szCs w:val="22"/>
                          <w:lang w:val="es-ES_tradnl"/>
                        </w:rPr>
                        <w:br/>
                        <w:t xml:space="preserve">Peligrosos de la </w:t>
                      </w:r>
                      <w:proofErr w:type="spellStart"/>
                      <w:r>
                        <w:rPr>
                          <w:rFonts w:eastAsia="Arial"/>
                          <w:sz w:val="22"/>
                          <w:szCs w:val="22"/>
                          <w:lang w:val="es-ES_tradnl"/>
                        </w:rPr>
                        <w:t>PHMSA</w:t>
                      </w:r>
                      <w:proofErr w:type="spellEnd"/>
                      <w:r>
                        <w:rPr>
                          <w:rFonts w:eastAsia="Arial"/>
                          <w:sz w:val="22"/>
                          <w:szCs w:val="22"/>
                          <w:lang w:val="es-ES_tradnl"/>
                        </w:rPr>
                        <w:t xml:space="preserve"> se encuentra disponible en: </w:t>
                      </w:r>
                      <w:hyperlink r:id="rId15" w:history="1">
                        <w:r>
                          <w:rPr>
                            <w:rFonts w:eastAsia="Arial"/>
                            <w:b/>
                            <w:bCs/>
                            <w:color w:val="EEB111"/>
                            <w:sz w:val="22"/>
                            <w:szCs w:val="22"/>
                            <w:lang w:val="es-ES_tradnl"/>
                          </w:rPr>
                          <w:t>www.phmsa.dot.gov/about-phmsa/offices/office-hazardous-materials-safety</w:t>
                        </w:r>
                      </w:hyperlink>
                      <w:r>
                        <w:rPr>
                          <w:rFonts w:eastAsia="Arial"/>
                          <w:color w:val="EEB111"/>
                          <w:sz w:val="22"/>
                          <w:szCs w:val="22"/>
                          <w:lang w:val="es-ES_tradnl"/>
                        </w:rPr>
                        <w:br/>
                      </w:r>
                      <w:r>
                        <w:rPr>
                          <w:rFonts w:eastAsia="Arial"/>
                          <w:sz w:val="22"/>
                          <w:szCs w:val="22"/>
                          <w:lang w:val="es-ES_tradnl"/>
                        </w:rPr>
                        <w:br/>
                        <w:t xml:space="preserve">o el Centro de información de Materiales Peligrosos de la </w:t>
                      </w:r>
                      <w:proofErr w:type="spellStart"/>
                      <w:r>
                        <w:rPr>
                          <w:rFonts w:eastAsia="Arial"/>
                          <w:sz w:val="22"/>
                          <w:szCs w:val="22"/>
                          <w:lang w:val="es-ES_tradnl"/>
                        </w:rPr>
                        <w:t>PHMSA</w:t>
                      </w:r>
                      <w:proofErr w:type="spellEnd"/>
                      <w:r>
                        <w:rPr>
                          <w:rFonts w:eastAsia="Arial"/>
                          <w:sz w:val="22"/>
                          <w:szCs w:val="22"/>
                          <w:lang w:val="es-ES_tradnl"/>
                        </w:rPr>
                        <w:t xml:space="preserve"> en: </w:t>
                      </w:r>
                      <w:r>
                        <w:rPr>
                          <w:rFonts w:eastAsia="Arial"/>
                          <w:sz w:val="22"/>
                          <w:szCs w:val="22"/>
                          <w:lang w:val="es-ES_tradnl"/>
                        </w:rPr>
                        <w:br/>
                      </w:r>
                      <w:r>
                        <w:rPr>
                          <w:rFonts w:eastAsia="Arial"/>
                          <w:b/>
                          <w:bCs/>
                          <w:color w:val="EEB111"/>
                          <w:sz w:val="22"/>
                          <w:szCs w:val="22"/>
                          <w:lang w:val="es-ES_tradnl"/>
                        </w:rPr>
                        <w:t>202-366-4488 o</w:t>
                      </w:r>
                    </w:p>
                    <w:p>
                      <w:pPr>
                        <w:jc w:val="center"/>
                      </w:pPr>
                      <w:r>
                        <w:rPr>
                          <w:rFonts w:eastAsia="Arial"/>
                          <w:b/>
                          <w:bCs/>
                          <w:color w:val="EEB111"/>
                          <w:sz w:val="22"/>
                          <w:szCs w:val="22"/>
                          <w:lang w:val="es-ES_tradnl"/>
                        </w:rPr>
                        <w:t>800-467-4922</w:t>
                      </w:r>
                    </w:p>
                  </w:txbxContent>
                </v:textbox>
                <w10:wrap type="tight"/>
              </v:rect>
            </w:pict>
          </mc:Fallback>
        </mc:AlternateContent>
      </w:r>
      <w:r>
        <w:rPr>
          <w:rFonts w:eastAsia="Arial"/>
          <w:sz w:val="22"/>
          <w:szCs w:val="22"/>
          <w:lang w:val="es-ES_tradnl"/>
        </w:rPr>
        <w:t>Dos agencias del Departamento de transporte de EE. UU. supervisan varios aspectos del transporte de materiales peligrosos. La Administración federal de seguridad de autotransportes (Federal Motor Carrier Safety Administration, FMCSA) y la Administración de seguridad de materiales peligrosos y tuberías (Pipeline and Hazardous Materials Safety Administration, PHMSA) tienen requisitos de registro y capacitación que deben cumplirse antes de transportar cualquier carga de materiales peligrosos en el comercio interestatal, intraestatal o extranjero.</w:t>
      </w:r>
      <w:r>
        <w:rPr>
          <w:rFonts w:eastAsia="Arial"/>
          <w:lang w:val="es-ES_tradnl"/>
        </w:rPr>
        <w:t xml:space="preserve"> </w:t>
      </w:r>
    </w:p>
    <w:p>
      <w:pPr>
        <w:pStyle w:val="BodyText"/>
        <w:rPr>
          <w:lang w:val="es-AR"/>
        </w:rPr>
      </w:pPr>
    </w:p>
    <w:p>
      <w:pPr>
        <w:pStyle w:val="BodyText"/>
        <w:rPr>
          <w:sz w:val="22"/>
          <w:szCs w:val="22"/>
          <w:lang w:val="es-AR"/>
        </w:rPr>
      </w:pPr>
      <w:r>
        <w:rPr>
          <w:rFonts w:eastAsia="Arial"/>
          <w:sz w:val="22"/>
          <w:szCs w:val="22"/>
          <w:lang w:val="es-ES_tradnl"/>
        </w:rPr>
        <w:t xml:space="preserve">El título 49 del código de regulaciones federales (49 CFR) partes 300 a 399 detalla los requisitos de FMCSA, mientras que las partes 100 a 180 del CFR 49 especifican los requisitos de PHMSA. Estas regulaciones integrales tratan con todo lo que necesita saber para garantizar que su negocio de materiales peligrosos cumpla con las regulaciones federales. Si tiene la intención de operar solo dentro de su estado (intraestatal) y transportar carga que se origina y se entrega dentro de su estado, la FMCSA le recomienda que se ponga en contacto con su agencia de transporte estatal para obtener más información. </w:t>
      </w:r>
    </w:p>
    <w:p>
      <w:pPr>
        <w:pStyle w:val="BodyText"/>
        <w:rPr>
          <w:lang w:val="es-AR"/>
        </w:rPr>
      </w:pPr>
    </w:p>
    <w:p>
      <w:pPr>
        <w:pStyle w:val="BodyText"/>
        <w:rPr>
          <w:lang w:val="es-AR"/>
        </w:rPr>
      </w:pPr>
      <w:bookmarkStart w:id="2" w:name="_Hlk82641701"/>
    </w:p>
    <w:p>
      <w:pPr>
        <w:pStyle w:val="BodyText"/>
        <w:rPr>
          <w:lang w:val="es-AR"/>
        </w:rPr>
      </w:pPr>
    </w:p>
    <w:p>
      <w:pPr>
        <w:pStyle w:val="BodyText"/>
        <w:rPr>
          <w:lang w:val="es-AR"/>
        </w:rPr>
      </w:pPr>
    </w:p>
    <w:p>
      <w:pPr>
        <w:pStyle w:val="BodyText"/>
        <w:rPr>
          <w:lang w:val="es-AR"/>
        </w:rPr>
      </w:pPr>
      <w:r>
        <w:rPr>
          <w:noProof/>
          <w:lang w:eastAsia="zh-TW"/>
        </w:rPr>
        <mc:AlternateContent>
          <mc:Choice Requires="wps">
            <w:drawing>
              <wp:anchor distT="0" distB="0" distL="114300" distR="114300" simplePos="0" relativeHeight="251661312" behindDoc="1" locked="0" layoutInCell="1" allowOverlap="1">
                <wp:simplePos x="0" y="0"/>
                <wp:positionH relativeFrom="column">
                  <wp:posOffset>1212215</wp:posOffset>
                </wp:positionH>
                <wp:positionV relativeFrom="paragraph">
                  <wp:posOffset>54073</wp:posOffset>
                </wp:positionV>
                <wp:extent cx="3964940" cy="1062990"/>
                <wp:effectExtent l="0" t="0" r="0" b="3810"/>
                <wp:wrapTight wrapText="bothSides">
                  <wp:wrapPolygon edited="0">
                    <wp:start x="0" y="0"/>
                    <wp:lineTo x="0" y="21419"/>
                    <wp:lineTo x="21517" y="21419"/>
                    <wp:lineTo x="21517" y="0"/>
                    <wp:lineTo x="0" y="0"/>
                  </wp:wrapPolygon>
                </wp:wrapTight>
                <wp:docPr id="2" name="Rectangle 2"/>
                <wp:cNvGraphicFramePr/>
                <a:graphic xmlns:a="http://schemas.openxmlformats.org/drawingml/2006/main">
                  <a:graphicData uri="http://schemas.microsoft.com/office/word/2010/wordprocessingShape">
                    <wps:wsp>
                      <wps:cNvSpPr/>
                      <wps:spPr>
                        <a:xfrm>
                          <a:off x="0" y="0"/>
                          <a:ext cx="3964940" cy="1062990"/>
                        </a:xfrm>
                        <a:prstGeom prst="rect">
                          <a:avLst/>
                        </a:prstGeom>
                        <a:solidFill>
                          <a:srgbClr val="00164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color w:val="FFFFFF" w:themeColor="background1"/>
                              </w:rPr>
                            </w:pPr>
                            <w:r>
                              <w:rPr>
                                <w:rFonts w:eastAsia="Arial"/>
                                <w:color w:val="FFFFFF"/>
                                <w:lang w:val="es-ES_tradnl"/>
                              </w:rPr>
                              <w:t xml:space="preserve">La versión más actualizada del </w:t>
                            </w:r>
                            <w:r>
                              <w:rPr>
                                <w:rFonts w:eastAsia="Arial"/>
                                <w:color w:val="FFFFFF"/>
                                <w:lang w:val="es-ES_tradnl"/>
                              </w:rPr>
                              <w:br/>
                              <w:t xml:space="preserve">Código de regulaciones federales (U.S. Code of Federal Regulations, CRF) de EE. UU. </w:t>
                            </w:r>
                            <w:r>
                              <w:rPr>
                                <w:rFonts w:eastAsia="Arial"/>
                                <w:color w:val="FFFFFF"/>
                                <w:lang w:val="es-ES_tradnl"/>
                              </w:rPr>
                              <w:br/>
                              <w:t>se encuentra disponible en línea en:</w:t>
                            </w:r>
                          </w:p>
                          <w:p>
                            <w:pPr>
                              <w:jc w:val="center"/>
                              <w:rPr>
                                <w:b/>
                                <w:bCs/>
                                <w:color w:val="EEB111"/>
                              </w:rPr>
                            </w:pPr>
                            <w:hyperlink w:history="1">
                              <w:r>
                                <w:rPr>
                                  <w:rStyle w:val="Hyperlink"/>
                                  <w:b/>
                                  <w:bCs/>
                                  <w:color w:val="EEB111"/>
                                  <w:u w:val="none"/>
                                </w:rPr>
                                <w:t>www.ecfr.gov</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 o:spid="_x0000_s1027" style="position:absolute;margin-left:95.45pt;margin-top:4.25pt;width:312.2pt;height:83.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" fillcolor="#001647" stroked="f" strokeweight="1pt">
                <v:textbox>
                  <w:txbxContent>
                    <w:p>
                      <w:pPr>
                        <w:jc w:val="center"/>
                        <w:rPr>
                          <w:color w:val="FFFFFF" w:themeColor="background1"/>
                        </w:rPr>
                      </w:pPr>
                      <w:r>
                        <w:rPr>
                          <w:rFonts w:eastAsia="Arial"/>
                          <w:color w:val="FFFFFF"/>
                          <w:lang w:val="es-ES_tradnl"/>
                        </w:rPr>
                        <w:t xml:space="preserve">La versión más actualizada del </w:t>
                      </w:r>
                      <w:r>
                        <w:rPr>
                          <w:rFonts w:eastAsia="Arial"/>
                          <w:color w:val="FFFFFF"/>
                          <w:lang w:val="es-ES_tradnl"/>
                        </w:rPr>
                        <w:br/>
                        <w:t>Código de regulaciones federales (</w:t>
                      </w:r>
                      <w:proofErr w:type="spellStart"/>
                      <w:r>
                        <w:rPr>
                          <w:rFonts w:eastAsia="Arial"/>
                          <w:color w:val="FFFFFF"/>
                          <w:lang w:val="es-ES_tradnl"/>
                        </w:rPr>
                        <w:t>U.S</w:t>
                      </w:r>
                      <w:proofErr w:type="spellEnd"/>
                      <w:r>
                        <w:rPr>
                          <w:rFonts w:eastAsia="Arial"/>
                          <w:color w:val="FFFFFF"/>
                          <w:lang w:val="es-ES_tradnl"/>
                        </w:rPr>
                        <w:t xml:space="preserve">. </w:t>
                      </w:r>
                      <w:proofErr w:type="spellStart"/>
                      <w:r>
                        <w:rPr>
                          <w:rFonts w:eastAsia="Arial"/>
                          <w:color w:val="FFFFFF"/>
                          <w:lang w:val="es-ES_tradnl"/>
                        </w:rPr>
                        <w:t>Code</w:t>
                      </w:r>
                      <w:proofErr w:type="spellEnd"/>
                      <w:r>
                        <w:rPr>
                          <w:rFonts w:eastAsia="Arial"/>
                          <w:color w:val="FFFFFF"/>
                          <w:lang w:val="es-ES_tradnl"/>
                        </w:rPr>
                        <w:t xml:space="preserve"> of Federal </w:t>
                      </w:r>
                      <w:proofErr w:type="spellStart"/>
                      <w:r>
                        <w:rPr>
                          <w:rFonts w:eastAsia="Arial"/>
                          <w:color w:val="FFFFFF"/>
                          <w:lang w:val="es-ES_tradnl"/>
                        </w:rPr>
                        <w:t>Regulations</w:t>
                      </w:r>
                      <w:proofErr w:type="spellEnd"/>
                      <w:r>
                        <w:rPr>
                          <w:rFonts w:eastAsia="Arial"/>
                          <w:color w:val="FFFFFF"/>
                          <w:lang w:val="es-ES_tradnl"/>
                        </w:rPr>
                        <w:t xml:space="preserve">, </w:t>
                      </w:r>
                      <w:proofErr w:type="spellStart"/>
                      <w:r>
                        <w:rPr>
                          <w:rFonts w:eastAsia="Arial"/>
                          <w:color w:val="FFFFFF"/>
                          <w:lang w:val="es-ES_tradnl"/>
                        </w:rPr>
                        <w:t>CRF</w:t>
                      </w:r>
                      <w:proofErr w:type="spellEnd"/>
                      <w:r>
                        <w:rPr>
                          <w:rFonts w:eastAsia="Arial"/>
                          <w:color w:val="FFFFFF"/>
                          <w:lang w:val="es-ES_tradnl"/>
                        </w:rPr>
                        <w:t xml:space="preserve">) de EE. UU. </w:t>
                      </w:r>
                      <w:r>
                        <w:rPr>
                          <w:rFonts w:eastAsia="Arial"/>
                          <w:color w:val="FFFFFF"/>
                          <w:lang w:val="es-ES_tradnl"/>
                        </w:rPr>
                        <w:br/>
                        <w:t>se encuentra disponible en línea en:</w:t>
                      </w:r>
                    </w:p>
                    <w:p>
                      <w:pPr>
                        <w:jc w:val="center"/>
                        <w:rPr>
                          <w:b/>
                          <w:bCs/>
                          <w:color w:val="EEB111"/>
                        </w:rPr>
                      </w:pPr>
                      <w:hyperlink w:history="1">
                        <w:r>
                          <w:rPr>
                            <w:rStyle w:val="Hyperlink"/>
                            <w:b/>
                            <w:bCs/>
                            <w:color w:val="EEB111"/>
                            <w:u w:val="none"/>
                          </w:rPr>
                          <w:t>www.ecfr.gov</w:t>
                        </w:r>
                      </w:hyperlink>
                    </w:p>
                  </w:txbxContent>
                </v:textbox>
                <w10:wrap type="tight"/>
              </v:rect>
            </w:pict>
          </mc:Fallback>
        </mc:AlternateContent>
      </w:r>
    </w:p>
    <w:p>
      <w:pPr>
        <w:pStyle w:val="BodyText"/>
        <w:rPr>
          <w:lang w:val="es-AR"/>
        </w:rPr>
      </w:pPr>
    </w:p>
    <w:p>
      <w:pPr>
        <w:pStyle w:val="BodyText"/>
        <w:rPr>
          <w:lang w:val="es-AR"/>
        </w:rPr>
      </w:pPr>
    </w:p>
    <w:bookmarkEnd w:id="2"/>
    <w:p>
      <w:pPr>
        <w:pStyle w:val="BodyText"/>
        <w:rPr>
          <w:lang w:val="es-AR"/>
        </w:rPr>
      </w:pPr>
    </w:p>
    <w:p>
      <w:pPr>
        <w:pStyle w:val="BodyText"/>
        <w:rPr>
          <w:lang w:val="es-AR"/>
        </w:rPr>
      </w:pPr>
    </w:p>
    <w:p>
      <w:pPr>
        <w:pStyle w:val="BodyText"/>
        <w:rPr>
          <w:lang w:val="es-AR"/>
        </w:rPr>
      </w:pPr>
    </w:p>
    <w:p>
      <w:pPr>
        <w:pStyle w:val="BodyText"/>
        <w:rPr>
          <w:lang w:val="es-AR"/>
        </w:rPr>
      </w:pPr>
    </w:p>
    <w:p>
      <w:pPr>
        <w:pStyle w:val="BodyText"/>
        <w:rPr>
          <w:lang w:val="es-AR"/>
        </w:rPr>
      </w:pPr>
    </w:p>
    <w:p>
      <w:pPr>
        <w:pStyle w:val="Heading1"/>
        <w:rPr>
          <w:lang w:val="es-AR"/>
        </w:rPr>
      </w:pPr>
      <w:bookmarkStart w:id="3" w:name="_Toc93568106"/>
      <w:r>
        <w:rPr>
          <w:rFonts w:eastAsia="Arial"/>
          <w:color w:val="FFFFFF"/>
          <w:szCs w:val="26"/>
          <w:lang w:val="es-ES_tradnl"/>
        </w:rPr>
        <w:lastRenderedPageBreak/>
        <w:t>Requisitos de registro de la FMCSA</w:t>
      </w:r>
      <w:bookmarkEnd w:id="3"/>
    </w:p>
    <w:p>
      <w:pPr>
        <w:rPr>
          <w:sz w:val="18"/>
          <w:szCs w:val="18"/>
          <w:lang w:val="es-AR"/>
        </w:rPr>
      </w:pPr>
    </w:p>
    <w:p>
      <w:pPr>
        <w:pStyle w:val="BodyText"/>
        <w:rPr>
          <w:lang w:val="es-AR"/>
        </w:rPr>
      </w:pPr>
      <w:r>
        <w:rPr>
          <w:rFonts w:eastAsia="Arial"/>
          <w:lang w:val="es-ES_tradnl"/>
        </w:rPr>
        <w:t xml:space="preserve">El proceso de registro del FMCSA requiere que especifique el tipo de negocio u operación de autotransportista, corredor, proveedor de equipos intermodales (Intermodal Equipment Provider, IEP), instalación de tanque de carga, expedidor o transportista que planea establecer. </w:t>
      </w:r>
    </w:p>
    <w:p>
      <w:pPr>
        <w:pStyle w:val="BodyText"/>
        <w:rPr>
          <w:sz w:val="18"/>
          <w:szCs w:val="18"/>
          <w:lang w:val="es-AR"/>
        </w:rPr>
      </w:pPr>
    </w:p>
    <w:p>
      <w:pPr>
        <w:pStyle w:val="BodyText"/>
        <w:rPr>
          <w:lang w:val="es-AR"/>
        </w:rPr>
      </w:pPr>
      <w:r>
        <w:rPr>
          <w:rFonts w:eastAsia="Arial"/>
          <w:lang w:val="es-ES_tradnl"/>
        </w:rPr>
        <w:t xml:space="preserve">La FMCSA administra la FMCSR y la HMR que rigen las operaciones interestatales, extranjeras y algunas intraestatales de la industria del autotransporte comercial y de autobuses por carretera. Esta determinación se basa en la autoclasificación de la operación comercial planificada de su empresa utilizando criterios como la carga, el área de operación y el tipo de empresa (es decir, privada, para contratación o remitente). </w:t>
      </w:r>
    </w:p>
    <w:p>
      <w:pPr>
        <w:pStyle w:val="BodyText"/>
        <w:rPr>
          <w:sz w:val="18"/>
          <w:szCs w:val="18"/>
          <w:lang w:val="es-AR"/>
        </w:rPr>
      </w:pPr>
    </w:p>
    <w:p>
      <w:pPr>
        <w:pStyle w:val="Heading2"/>
        <w:rPr>
          <w:lang w:val="es-AR"/>
        </w:rPr>
      </w:pPr>
      <w:bookmarkStart w:id="4" w:name="_Toc93568107"/>
      <w:r>
        <w:t>¿Quién debe registrarse en la FMCSA?</w:t>
      </w:r>
      <w:bookmarkEnd w:id="4"/>
    </w:p>
    <w:p>
      <w:pPr>
        <w:pStyle w:val="Heading2"/>
      </w:pPr>
    </w:p>
    <w:p>
      <w:pPr>
        <w:pStyle w:val="BodyText"/>
        <w:rPr>
          <w:sz w:val="18"/>
          <w:szCs w:val="18"/>
          <w:lang w:val="es-AR"/>
        </w:rPr>
      </w:pPr>
      <w:r>
        <w:rPr>
          <w:rFonts w:eastAsia="Arial"/>
          <w:lang w:val="es-ES_tradnl"/>
        </w:rPr>
        <w:t xml:space="preserve">Debe registrarse si tiene un vehículo que: </w:t>
      </w:r>
      <w:r>
        <w:rPr>
          <w:rFonts w:eastAsia="Arial"/>
          <w:lang w:val="es-ES_tradnl"/>
        </w:rPr>
        <w:br/>
      </w:r>
    </w:p>
    <w:p>
      <w:pPr>
        <w:pStyle w:val="BodyText"/>
        <w:numPr>
          <w:ilvl w:val="0"/>
          <w:numId w:val="3"/>
        </w:numPr>
        <w:rPr>
          <w:lang w:val="es-AR"/>
        </w:rPr>
      </w:pPr>
      <w:r>
        <w:rPr>
          <w:rFonts w:eastAsia="Arial"/>
          <w:lang w:val="es-ES_tradnl"/>
        </w:rPr>
        <w:t xml:space="preserve">se utiliza para transportar los tipos y cantidades de materiales peligrosos que requieren un permiso de seguridad en el comercio intraestatal (véase 49 CFR 385.403); </w:t>
      </w:r>
    </w:p>
    <w:p>
      <w:pPr>
        <w:pStyle w:val="BodyText"/>
        <w:spacing w:before="120" w:after="120"/>
        <w:jc w:val="center"/>
      </w:pPr>
      <w:r>
        <w:rPr>
          <w:rFonts w:eastAsia="Arial"/>
          <w:lang w:val="es-ES_tradnl"/>
        </w:rPr>
        <w:t>-O-</w:t>
      </w:r>
    </w:p>
    <w:p>
      <w:pPr>
        <w:pStyle w:val="BodyText"/>
        <w:numPr>
          <w:ilvl w:val="0"/>
          <w:numId w:val="3"/>
        </w:numPr>
        <w:rPr>
          <w:lang w:val="es-AR"/>
        </w:rPr>
      </w:pPr>
      <w:r>
        <w:rPr>
          <w:rFonts w:eastAsia="Arial"/>
          <w:lang w:val="es-ES_tradnl"/>
        </w:rPr>
        <w:t xml:space="preserve">se utiliza para transportar materiales peligrosos que requieren señalización conforme a al CFR 49 en el comercio interestatal, independientemente de la clasificación de peso del vehículo o de la combinación de vehículos; </w:t>
      </w:r>
    </w:p>
    <w:p>
      <w:pPr>
        <w:pStyle w:val="BodyText"/>
        <w:spacing w:before="120" w:after="120"/>
        <w:jc w:val="center"/>
      </w:pPr>
      <w:r>
        <w:rPr>
          <w:rFonts w:eastAsia="Arial"/>
          <w:lang w:val="es-ES_tradnl"/>
        </w:rPr>
        <w:t>-O-</w:t>
      </w:r>
    </w:p>
    <w:p>
      <w:pPr>
        <w:pStyle w:val="BodyText"/>
        <w:numPr>
          <w:ilvl w:val="0"/>
          <w:numId w:val="3"/>
        </w:numPr>
        <w:rPr>
          <w:lang w:val="es-AR"/>
        </w:rPr>
      </w:pPr>
      <w:r>
        <w:rPr>
          <w:rFonts w:eastAsia="Arial"/>
          <w:lang w:val="es-ES_tradnl"/>
        </w:rPr>
        <w:t xml:space="preserve">Tiene un peso bruto del vehículo o un peso bruto combinado, o un peso bruto del vehículo o un peso bruto combinado de 4536 kg (10,001 libras) o más, lo que sea mayor; </w:t>
      </w:r>
    </w:p>
    <w:p>
      <w:pPr>
        <w:pStyle w:val="BodyText"/>
        <w:spacing w:before="120" w:after="120"/>
        <w:jc w:val="center"/>
      </w:pPr>
      <w:r>
        <w:rPr>
          <w:rFonts w:eastAsia="Arial"/>
          <w:lang w:val="es-ES_tradnl"/>
        </w:rPr>
        <w:t>-O-</w:t>
      </w:r>
    </w:p>
    <w:p>
      <w:pPr>
        <w:pStyle w:val="BodyText"/>
        <w:numPr>
          <w:ilvl w:val="0"/>
          <w:numId w:val="3"/>
        </w:numPr>
        <w:rPr>
          <w:rFonts w:asciiTheme="minorHAnsi" w:eastAsiaTheme="minorEastAsia" w:hAnsiTheme="minorHAnsi" w:cstheme="minorBidi"/>
          <w:b/>
          <w:bCs/>
          <w:lang w:val="es-AR"/>
        </w:rPr>
      </w:pPr>
      <w:r>
        <w:rPr>
          <w:rFonts w:eastAsia="Arial"/>
          <w:color w:val="212121"/>
          <w:lang w:val="es-ES_tradnl"/>
        </w:rPr>
        <w:t xml:space="preserve">está diseñado o se utiliza para transportar a más de 8 pasajeros (incluido el conductor) para </w:t>
      </w:r>
      <w:r>
        <w:rPr>
          <w:rFonts w:eastAsia="Arial"/>
          <w:lang w:val="es-ES_tradnl"/>
        </w:rPr>
        <w:t>recibir compensaciones; o está diseñado o se utiliza para transportar a más de 15 pasajeros, incluido el conductor, y no se utiliza para transportar pasajeros para recibir compensaciones;</w:t>
      </w:r>
    </w:p>
    <w:p>
      <w:pPr>
        <w:pStyle w:val="BodyText"/>
        <w:spacing w:before="120" w:after="120"/>
        <w:jc w:val="center"/>
      </w:pPr>
      <w:r>
        <w:rPr>
          <w:rFonts w:eastAsia="Arial"/>
          <w:lang w:val="es-ES_tradnl"/>
        </w:rPr>
        <w:t>-Y-</w:t>
      </w:r>
    </w:p>
    <w:p>
      <w:pPr>
        <w:pStyle w:val="BodyText"/>
        <w:numPr>
          <w:ilvl w:val="0"/>
          <w:numId w:val="3"/>
        </w:numPr>
        <w:rPr>
          <w:lang w:val="es-AR"/>
        </w:rPr>
      </w:pPr>
      <w:r>
        <w:rPr>
          <w:rFonts w:eastAsia="Arial"/>
          <w:lang w:val="es-ES_tradnl"/>
        </w:rPr>
        <w:t xml:space="preserve">Se utiliza en el comercio interestatal (comercio, tráfico o transporte en los Estados Unidos): </w:t>
      </w:r>
    </w:p>
    <w:p>
      <w:pPr>
        <w:pStyle w:val="BodyText"/>
        <w:numPr>
          <w:ilvl w:val="1"/>
          <w:numId w:val="3"/>
        </w:numPr>
        <w:rPr>
          <w:lang w:val="es-AR"/>
        </w:rPr>
      </w:pPr>
      <w:r>
        <w:rPr>
          <w:rFonts w:eastAsia="Arial"/>
          <w:lang w:val="es-ES_tradnl"/>
        </w:rPr>
        <w:t xml:space="preserve">entre un lugar en un Estado y un lugar fuera de dicho Estado (que incluye un lugar fuera de los Estados Unidos); </w:t>
      </w:r>
    </w:p>
    <w:p>
      <w:pPr>
        <w:pStyle w:val="BodyText"/>
        <w:numPr>
          <w:ilvl w:val="1"/>
          <w:numId w:val="3"/>
        </w:numPr>
        <w:rPr>
          <w:lang w:val="es-AR"/>
        </w:rPr>
      </w:pPr>
      <w:r>
        <w:rPr>
          <w:rFonts w:eastAsia="Arial"/>
          <w:lang w:val="es-ES_tradnl"/>
        </w:rPr>
        <w:t xml:space="preserve">entre dos lugares en un mismo Estado a través de otro Estado o un lugar fuera de los Estados Unidos; o </w:t>
      </w:r>
    </w:p>
    <w:p>
      <w:pPr>
        <w:pStyle w:val="BodyText"/>
        <w:numPr>
          <w:ilvl w:val="1"/>
          <w:numId w:val="3"/>
        </w:numPr>
        <w:rPr>
          <w:rFonts w:eastAsia="Arial"/>
          <w:lang w:val="es-ES_tradnl"/>
        </w:rPr>
      </w:pPr>
      <w:r>
        <w:rPr>
          <w:rFonts w:eastAsia="Arial"/>
          <w:lang w:val="es-ES_tradnl"/>
        </w:rPr>
        <w:lastRenderedPageBreak/>
        <w:t xml:space="preserve">entre dos lugares en un mismo Estado como parte del comercio, tráfico o transporte que se origina o termina fuera del Estado o de los Estados Unidos. </w:t>
      </w:r>
    </w:p>
    <w:p>
      <w:pPr>
        <w:rPr>
          <w:rFonts w:eastAsia="Arial"/>
          <w:lang w:val="es-ES_tradnl"/>
        </w:rPr>
      </w:pPr>
      <w:r>
        <w:rPr>
          <w:rFonts w:eastAsia="Arial"/>
          <w:lang w:val="es-ES_tradnl"/>
        </w:rPr>
        <w:br w:type="page"/>
      </w:r>
    </w:p>
    <w:p>
      <w:pPr>
        <w:pStyle w:val="Heading1"/>
        <w:rPr>
          <w:lang w:val="es-AR"/>
        </w:rPr>
      </w:pPr>
      <w:bookmarkStart w:id="5" w:name="_Toc93568108"/>
      <w:r>
        <w:rPr>
          <w:rFonts w:eastAsia="Arial"/>
          <w:color w:val="FFFFFF"/>
          <w:szCs w:val="26"/>
          <w:lang w:val="es-ES_tradnl"/>
        </w:rPr>
        <w:lastRenderedPageBreak/>
        <w:t>Completar el proceso de registro del autotransportista del FMCSA</w:t>
      </w:r>
      <w:bookmarkEnd w:id="5"/>
    </w:p>
    <w:p>
      <w:pPr>
        <w:pStyle w:val="BodyText"/>
        <w:rPr>
          <w:lang w:val="es-AR"/>
        </w:rPr>
      </w:pPr>
    </w:p>
    <w:p>
      <w:pPr>
        <w:pStyle w:val="Heading2"/>
        <w:rPr>
          <w:lang w:val="es-AR"/>
        </w:rPr>
      </w:pPr>
      <w:bookmarkStart w:id="6" w:name="_Toc93568109"/>
      <w:r>
        <w:t>¿Cómo registrarme y solicitar el número USDOT?</w:t>
      </w:r>
      <w:bookmarkEnd w:id="6"/>
    </w:p>
    <w:p>
      <w:pPr>
        <w:pStyle w:val="Heading2"/>
      </w:pPr>
    </w:p>
    <w:p>
      <w:pPr>
        <w:pStyle w:val="BodyText"/>
        <w:rPr>
          <w:lang w:val="es-AR"/>
        </w:rPr>
      </w:pPr>
      <w:r>
        <w:rPr>
          <w:rFonts w:eastAsia="Arial"/>
          <w:lang w:val="es-ES_tradnl"/>
        </w:rPr>
        <w:t xml:space="preserve">Solicite el número USDOT y la autoridad operativa, en caso de ser necesario, registrándose en la FMCSA a través del sistema de registro en línea de FMCSA. Para empezar, visite </w:t>
      </w:r>
      <w:hyperlink r:id="rId16" w:history="1">
        <w:r>
          <w:rPr>
            <w:rFonts w:eastAsia="Arial"/>
            <w:color w:val="215E9E"/>
            <w:u w:val="single"/>
            <w:lang w:val="es-ES_tradnl"/>
          </w:rPr>
          <w:t>www.fmcsa.dot.gov/registration/getting-started</w:t>
        </w:r>
      </w:hyperlink>
      <w:r>
        <w:rPr>
          <w:rFonts w:eastAsia="Arial"/>
          <w:lang w:val="es-ES_tradnl"/>
        </w:rPr>
        <w:t>.</w:t>
      </w:r>
    </w:p>
    <w:p>
      <w:pPr>
        <w:pStyle w:val="BodyText"/>
        <w:rPr>
          <w:lang w:val="es-AR"/>
        </w:rPr>
      </w:pPr>
    </w:p>
    <w:p>
      <w:pPr>
        <w:pStyle w:val="Heading2"/>
        <w:rPr>
          <w:lang w:val="es-AR"/>
        </w:rPr>
      </w:pPr>
      <w:bookmarkStart w:id="7" w:name="_Toc93568110"/>
      <w:r>
        <w:t>¿Necesito la autoridad operativa (número de MC)?</w:t>
      </w:r>
      <w:bookmarkEnd w:id="7"/>
    </w:p>
    <w:p>
      <w:pPr>
        <w:pStyle w:val="BodyText"/>
        <w:rPr>
          <w:b/>
          <w:bCs/>
          <w:color w:val="001647"/>
          <w:sz w:val="28"/>
          <w:szCs w:val="32"/>
          <w:lang w:val="es-AR"/>
        </w:rPr>
      </w:pPr>
    </w:p>
    <w:p>
      <w:pPr>
        <w:pStyle w:val="BodyText"/>
        <w:rPr>
          <w:lang w:val="es-AR"/>
        </w:rPr>
      </w:pPr>
      <w:r>
        <w:rPr>
          <w:rFonts w:eastAsia="Arial"/>
          <w:lang w:val="es-ES_tradnl"/>
        </w:rPr>
        <w:t xml:space="preserve">Se requiere la Autoridad Operativa Interestatal (Número MC, FF o MX) además del número USDOT si transporta productos regulados a nivel federal que son propiedad de otros en el comercio interestatal, si es un autotransportista domiciliado en México que transporta productos regulados a nivel federal hacia Estados Unidos, o si está organizando su transporte por una tarifa u otra compensación.  Si esto se aplica a usted, visite: </w:t>
      </w:r>
      <w:hyperlink w:history="1">
        <w:r>
          <w:rPr>
            <w:rFonts w:eastAsia="Arial"/>
            <w:color w:val="215E9E"/>
            <w:u w:val="single"/>
            <w:lang w:val="es-ES_tradnl"/>
          </w:rPr>
          <w:t>www.fmcsa.dot.gov/registration/get-mc-number-authority-operate</w:t>
        </w:r>
      </w:hyperlink>
      <w:r>
        <w:rPr>
          <w:rFonts w:eastAsia="Arial"/>
          <w:lang w:val="es-ES_tradnl"/>
        </w:rPr>
        <w:t>.</w:t>
      </w:r>
    </w:p>
    <w:p>
      <w:pPr>
        <w:pStyle w:val="BodyText"/>
        <w:rPr>
          <w:lang w:val="es-AR"/>
        </w:rPr>
      </w:pPr>
    </w:p>
    <w:p>
      <w:pPr>
        <w:pStyle w:val="Heading2"/>
        <w:rPr>
          <w:lang w:val="es-AR"/>
        </w:rPr>
      </w:pPr>
      <w:bookmarkStart w:id="8" w:name="_Toc93568111"/>
      <w:r>
        <w:t>¿Qué información debo proporcionar para registrarme en FMCSA?</w:t>
      </w:r>
      <w:bookmarkEnd w:id="8"/>
    </w:p>
    <w:p>
      <w:pPr>
        <w:pStyle w:val="BodyText"/>
        <w:rPr>
          <w:b/>
          <w:bCs/>
          <w:color w:val="001647"/>
          <w:sz w:val="28"/>
          <w:szCs w:val="32"/>
          <w:lang w:val="es-AR"/>
        </w:rPr>
      </w:pPr>
    </w:p>
    <w:p>
      <w:pPr>
        <w:pStyle w:val="BodyText"/>
        <w:rPr>
          <w:lang w:val="es-AR"/>
        </w:rPr>
      </w:pPr>
      <w:r>
        <w:rPr>
          <w:rFonts w:eastAsia="Arial"/>
          <w:lang w:val="es-ES_tradnl"/>
        </w:rPr>
        <w:t xml:space="preserve">Para completar el registro se requieren los siguientes artículos: </w:t>
      </w:r>
      <w:r>
        <w:rPr>
          <w:rFonts w:eastAsia="Arial"/>
          <w:lang w:val="es-ES_tradnl"/>
        </w:rPr>
        <w:br/>
      </w:r>
    </w:p>
    <w:p>
      <w:pPr>
        <w:pStyle w:val="BodyText"/>
        <w:numPr>
          <w:ilvl w:val="0"/>
          <w:numId w:val="3"/>
        </w:numPr>
        <w:rPr>
          <w:lang w:val="es-AR"/>
        </w:rPr>
      </w:pPr>
      <w:r>
        <w:rPr>
          <w:rFonts w:eastAsia="Arial"/>
          <w:lang w:val="es-ES_tradnl"/>
        </w:rPr>
        <w:t>MCSA-1 completo a través del formulario en línea; incluye:</w:t>
      </w:r>
    </w:p>
    <w:p>
      <w:pPr>
        <w:pStyle w:val="BodyText"/>
        <w:numPr>
          <w:ilvl w:val="1"/>
          <w:numId w:val="3"/>
        </w:numPr>
      </w:pPr>
      <w:r>
        <w:rPr>
          <w:rFonts w:eastAsia="Arial"/>
          <w:lang w:val="es-ES_tradnl"/>
        </w:rPr>
        <w:t xml:space="preserve">Solicitud de número USDOT; </w:t>
      </w:r>
    </w:p>
    <w:p>
      <w:pPr>
        <w:pStyle w:val="BodyText"/>
        <w:numPr>
          <w:ilvl w:val="1"/>
          <w:numId w:val="3"/>
        </w:numPr>
        <w:rPr>
          <w:lang w:val="es-AR"/>
        </w:rPr>
      </w:pPr>
      <w:r>
        <w:rPr>
          <w:rFonts w:eastAsia="Arial"/>
          <w:lang w:val="es-ES_tradnl"/>
        </w:rPr>
        <w:t xml:space="preserve">Solicitud de Autoridad Operativa (si es un transportista contratado, identificado por un número MC); </w:t>
      </w:r>
    </w:p>
    <w:p>
      <w:pPr>
        <w:pStyle w:val="BodyText"/>
        <w:numPr>
          <w:ilvl w:val="0"/>
          <w:numId w:val="3"/>
        </w:numPr>
        <w:rPr>
          <w:lang w:val="es-AR"/>
        </w:rPr>
      </w:pPr>
      <w:r>
        <w:rPr>
          <w:rFonts w:eastAsia="Arial"/>
          <w:lang w:val="es-ES_tradnl"/>
        </w:rPr>
        <w:t xml:space="preserve">Registro del permiso de seguridad de materiales peligrosos (HMSP) (Formulario MCS-150B) para aquellos materiales que requieren un HMSP (consulte 49 CFR 385.403 y la información en: </w:t>
      </w:r>
      <w:hyperlink w:history="1">
        <w:r>
          <w:rPr>
            <w:rFonts w:eastAsia="Arial"/>
            <w:color w:val="215E9E"/>
            <w:u w:val="single"/>
            <w:lang w:val="es-ES_tradnl"/>
          </w:rPr>
          <w:t>www.fmcsa.dot.gov/regulations/hazardous-materials/hazardous-materials-safety-permit-program-hmsp</w:t>
        </w:r>
      </w:hyperlink>
      <w:hyperlink w:history="1">
        <w:r>
          <w:rPr>
            <w:rFonts w:eastAsia="Arial"/>
            <w:lang w:val="es-ES_tradnl"/>
          </w:rPr>
          <w:t>)</w:t>
        </w:r>
      </w:hyperlink>
      <w:r>
        <w:rPr>
          <w:rFonts w:eastAsia="Arial"/>
          <w:lang w:val="es-ES_tradnl"/>
        </w:rPr>
        <w:t xml:space="preserve">; </w:t>
      </w:r>
    </w:p>
    <w:p>
      <w:pPr>
        <w:pStyle w:val="BodyText"/>
        <w:numPr>
          <w:ilvl w:val="0"/>
          <w:numId w:val="3"/>
        </w:numPr>
        <w:rPr>
          <w:lang w:val="es-AR"/>
        </w:rPr>
      </w:pPr>
      <w:r>
        <w:rPr>
          <w:rFonts w:eastAsia="Arial"/>
          <w:lang w:val="es-ES_tradnl"/>
        </w:rPr>
        <w:t xml:space="preserve">Prueba de responsabilidad y seguro de carga (Formulario MCS-90); y </w:t>
      </w:r>
    </w:p>
    <w:p>
      <w:pPr>
        <w:pStyle w:val="BodyText"/>
        <w:numPr>
          <w:ilvl w:val="0"/>
          <w:numId w:val="3"/>
        </w:numPr>
        <w:rPr>
          <w:lang w:val="es-AR"/>
        </w:rPr>
      </w:pPr>
      <w:r>
        <w:rPr>
          <w:rFonts w:eastAsia="Arial"/>
          <w:lang w:val="es-ES_tradnl"/>
        </w:rPr>
        <w:t>El HMR de PHMSA (consulte el 49 CFR 385.407(c) requerido para un HMSP.</w:t>
      </w:r>
    </w:p>
    <w:p>
      <w:pPr>
        <w:spacing w:after="4"/>
        <w:ind w:right="4"/>
        <w:rPr>
          <w:lang w:val="es-AR"/>
        </w:rPr>
      </w:pPr>
      <w:r>
        <w:rPr>
          <w:lang w:val="es-AR"/>
        </w:rPr>
        <w:t xml:space="preserve"> </w:t>
      </w:r>
    </w:p>
    <w:p>
      <w:pPr>
        <w:pStyle w:val="Heading2"/>
        <w:rPr>
          <w:lang w:val="es-AR"/>
        </w:rPr>
      </w:pPr>
      <w:bookmarkStart w:id="9" w:name="_Toc93568112"/>
      <w:r>
        <w:t>¿Cuáles son los requisitos de mi seguro?</w:t>
      </w:r>
      <w:bookmarkEnd w:id="9"/>
    </w:p>
    <w:p>
      <w:pPr>
        <w:pStyle w:val="BodyText"/>
        <w:rPr>
          <w:b/>
          <w:bCs/>
          <w:color w:val="001647"/>
          <w:sz w:val="28"/>
          <w:szCs w:val="32"/>
          <w:lang w:val="es-AR"/>
        </w:rPr>
      </w:pPr>
    </w:p>
    <w:p>
      <w:pPr>
        <w:pStyle w:val="BodyText"/>
        <w:rPr>
          <w:lang w:val="es-AR"/>
        </w:rPr>
      </w:pPr>
      <w:r>
        <w:rPr>
          <w:rFonts w:eastAsia="Arial"/>
          <w:lang w:val="es-ES_tradnl"/>
        </w:rPr>
        <w:t xml:space="preserve">Los requisitos de responsabilidad civil se definen en el título 49 CFR Parte 387, y en línea en: </w:t>
      </w:r>
      <w:hyperlink w:history="1">
        <w:r>
          <w:rPr>
            <w:rFonts w:eastAsia="Arial"/>
            <w:color w:val="215E9E"/>
            <w:u w:val="single"/>
            <w:lang w:val="es-ES_tradnl"/>
          </w:rPr>
          <w:t>www.fmcsa.dot.gov/registration/insurance-filing-requirements</w:t>
        </w:r>
      </w:hyperlink>
      <w:hyperlink w:history="1">
        <w:r>
          <w:rPr>
            <w:rFonts w:eastAsia="Arial"/>
            <w:color w:val="0066CC"/>
            <w:lang w:val="es-ES_tradnl"/>
          </w:rPr>
          <w:t>.</w:t>
        </w:r>
      </w:hyperlink>
      <w:r>
        <w:rPr>
          <w:rFonts w:eastAsia="Arial"/>
          <w:color w:val="0066CC"/>
          <w:lang w:val="es-ES_tradnl"/>
        </w:rPr>
        <w:t xml:space="preserve"> </w:t>
      </w:r>
      <w:r>
        <w:rPr>
          <w:rFonts w:eastAsia="Arial"/>
          <w:color w:val="0066CC"/>
          <w:lang w:val="es-ES_tradnl"/>
        </w:rPr>
        <w:br/>
      </w:r>
    </w:p>
    <w:p>
      <w:pPr>
        <w:pStyle w:val="BodyText"/>
        <w:numPr>
          <w:ilvl w:val="0"/>
          <w:numId w:val="4"/>
        </w:numPr>
        <w:rPr>
          <w:lang w:val="es-AR"/>
        </w:rPr>
      </w:pPr>
      <w:r>
        <w:rPr>
          <w:rFonts w:eastAsia="Arial"/>
          <w:lang w:val="es-ES_tradnl"/>
        </w:rPr>
        <w:t xml:space="preserve">Además de presentar una solicitud para la autoridad operativa, todos los solicitantes de autotransportistas, transportistas y autoridades de corredores deben tener documentos específicos de seguros y agentes de procesos legales archivados antes de que la FMCSA emita a las autoridades. </w:t>
      </w:r>
    </w:p>
    <w:p>
      <w:pPr>
        <w:pStyle w:val="BodyText"/>
        <w:numPr>
          <w:ilvl w:val="0"/>
          <w:numId w:val="4"/>
        </w:numPr>
        <w:rPr>
          <w:lang w:val="es-AR"/>
        </w:rPr>
      </w:pPr>
      <w:r>
        <w:rPr>
          <w:rFonts w:eastAsia="Arial"/>
          <w:lang w:val="es-ES_tradnl"/>
        </w:rPr>
        <w:t xml:space="preserve">La sede de la compañía de seguros que proporciona la cobertura debe presentar los formularios de seguro de responsabilidad civil y de carga directamente a la </w:t>
      </w:r>
      <w:r>
        <w:rPr>
          <w:rFonts w:eastAsia="Arial"/>
          <w:lang w:val="es-ES_tradnl"/>
        </w:rPr>
        <w:lastRenderedPageBreak/>
        <w:t xml:space="preserve">FMCSA en línea en: </w:t>
      </w:r>
      <w:hyperlink w:history="1">
        <w:r>
          <w:rPr>
            <w:rFonts w:eastAsia="Arial"/>
            <w:color w:val="215E9E"/>
            <w:u w:val="single"/>
            <w:lang w:val="es-ES_tradnl"/>
          </w:rPr>
          <w:t>www.fmcsa.dot.gov/registration/insurance-filing-requirements</w:t>
        </w:r>
      </w:hyperlink>
      <w:r>
        <w:rPr>
          <w:rFonts w:eastAsia="Arial"/>
          <w:lang w:val="es-ES_tradnl"/>
        </w:rPr>
        <w:t>.</w:t>
      </w:r>
    </w:p>
    <w:p>
      <w:pPr>
        <w:pStyle w:val="BodyText"/>
        <w:numPr>
          <w:ilvl w:val="0"/>
          <w:numId w:val="4"/>
        </w:numPr>
        <w:rPr>
          <w:lang w:val="es-AR"/>
        </w:rPr>
      </w:pPr>
      <w:r>
        <w:rPr>
          <w:rFonts w:eastAsia="Arial"/>
          <w:lang w:val="es-ES_tradnl"/>
        </w:rPr>
        <w:t xml:space="preserve">Una compañía de seguros (NO agentes de seguros) que desee presentar formularios de seguros en línea debe abrir una cuenta de declarante en FMCSA. Su compañía de seguros debe enviar una solicitud al equipo de seguros de la división de registro de la FMCSA a </w:t>
      </w:r>
      <w:hyperlink r:id="rId17" w:history="1">
        <w:r>
          <w:rPr>
            <w:rFonts w:eastAsia="Arial" w:cs="Segoe UI"/>
            <w:color w:val="0079C0"/>
            <w:sz w:val="25"/>
            <w:szCs w:val="25"/>
            <w:u w:val="single"/>
            <w:lang w:val="es-ES_tradnl"/>
          </w:rPr>
          <w:t>mc-ecc.comments@dot.gov</w:t>
        </w:r>
      </w:hyperlink>
      <w:r>
        <w:rPr>
          <w:rFonts w:eastAsia="Arial"/>
          <w:lang w:val="es-ES_tradnl"/>
        </w:rPr>
        <w:t xml:space="preserve">. </w:t>
      </w:r>
    </w:p>
    <w:p>
      <w:pPr>
        <w:pStyle w:val="BodyText"/>
        <w:rPr>
          <w:lang w:val="es-AR"/>
        </w:rPr>
      </w:pPr>
    </w:p>
    <w:p>
      <w:pPr>
        <w:pStyle w:val="BodyText"/>
        <w:rPr>
          <w:lang w:val="es-AR"/>
        </w:rPr>
      </w:pPr>
      <w:r>
        <w:rPr>
          <w:rFonts w:eastAsia="Arial"/>
          <w:lang w:val="es-ES_tradnl"/>
        </w:rPr>
        <w:t xml:space="preserve">Como condición para obtener o renovar un HMSP, FMCSA requiere pruebas de que el autotransportista mantiene la responsabilidad financiera mínima requerida por 49 CFR 387.9. Este requisito se cumple enviando los Formularios MCS-90 u otros documentos de seguro aceptables junto con la solicitud de HMSP (Formulario MCS-150B). </w:t>
      </w:r>
    </w:p>
    <w:p>
      <w:pPr>
        <w:ind w:right="4"/>
        <w:rPr>
          <w:lang w:val="es-AR"/>
        </w:rPr>
      </w:pPr>
    </w:p>
    <w:p>
      <w:pPr>
        <w:pStyle w:val="Heading2"/>
        <w:rPr>
          <w:lang w:val="es-AR"/>
        </w:rPr>
      </w:pPr>
      <w:bookmarkStart w:id="10" w:name="_Toc93568113"/>
      <w:r>
        <w:t>No olvide registrarse en PHMSA</w:t>
      </w:r>
      <w:bookmarkEnd w:id="10"/>
    </w:p>
    <w:p>
      <w:pPr>
        <w:pStyle w:val="BodyText"/>
        <w:rPr>
          <w:lang w:val="es-AR"/>
        </w:rPr>
      </w:pPr>
    </w:p>
    <w:p>
      <w:pPr>
        <w:rPr>
          <w:lang w:val="es-AR"/>
        </w:rPr>
      </w:pPr>
      <w:r>
        <w:rPr>
          <w:rFonts w:eastAsia="Arial"/>
          <w:lang w:val="es-ES_tradnl"/>
        </w:rPr>
        <w:t xml:space="preserve">Los requisitos de registro de PHMSA se detallan más adelante en este documento. De conformidad con 49 CFR 385.407(c), </w:t>
      </w:r>
      <w:r>
        <w:rPr>
          <w:rFonts w:eastAsia="Arial" w:cs="Arial"/>
          <w:lang w:val="es-ES_tradnl"/>
        </w:rPr>
        <w:t>un autotransportista debe estar registrado en PHMSA para que la FMCSA emita un HMSP</w:t>
      </w:r>
      <w:r>
        <w:rPr>
          <w:rFonts w:eastAsia="Arial"/>
          <w:lang w:val="es-ES_tradnl"/>
        </w:rPr>
        <w:t>.</w:t>
      </w:r>
    </w:p>
    <w:p>
      <w:pPr>
        <w:pStyle w:val="BodyText"/>
        <w:rPr>
          <w:lang w:val="es-AR"/>
        </w:rPr>
      </w:pPr>
    </w:p>
    <w:p>
      <w:pPr>
        <w:rPr>
          <w:b/>
          <w:bCs/>
          <w:caps/>
          <w:color w:val="FFFFFF" w:themeColor="background1"/>
          <w:sz w:val="26"/>
          <w:szCs w:val="32"/>
          <w:lang w:val="es-AR"/>
        </w:rPr>
      </w:pPr>
    </w:p>
    <w:p>
      <w:pPr>
        <w:rPr>
          <w:b/>
          <w:bCs/>
          <w:caps/>
          <w:color w:val="FFFFFF" w:themeColor="background1"/>
          <w:sz w:val="26"/>
          <w:szCs w:val="32"/>
          <w:lang w:val="es-AR"/>
        </w:rPr>
      </w:pPr>
      <w:r>
        <w:rPr>
          <w:lang w:val="es-AR"/>
        </w:rPr>
        <w:br w:type="page"/>
      </w:r>
    </w:p>
    <w:p>
      <w:pPr>
        <w:pStyle w:val="Heading1"/>
        <w:rPr>
          <w:lang w:val="es-AR"/>
        </w:rPr>
      </w:pPr>
      <w:bookmarkStart w:id="11" w:name="_Toc93568114"/>
      <w:r>
        <w:rPr>
          <w:rFonts w:eastAsia="Arial"/>
          <w:color w:val="FFFFFF"/>
          <w:szCs w:val="26"/>
          <w:lang w:val="es-ES_tradnl"/>
        </w:rPr>
        <w:lastRenderedPageBreak/>
        <w:t>El permiso de conducir comercial (Commercial Driver’s License, CDL) y el certificado de materiales</w:t>
      </w:r>
      <w:r>
        <w:rPr>
          <w:rFonts w:eastAsia="Arial"/>
          <w:color w:val="FFFFFF"/>
          <w:szCs w:val="26"/>
          <w:lang w:val="es-ES_tradnl"/>
        </w:rPr>
        <w:br/>
        <w:t>peligrosos (HM)</w:t>
      </w:r>
      <w:bookmarkEnd w:id="11"/>
    </w:p>
    <w:p>
      <w:pPr>
        <w:rPr>
          <w:lang w:val="es-AR"/>
        </w:rPr>
      </w:pPr>
    </w:p>
    <w:p>
      <w:pPr>
        <w:pStyle w:val="Heading2"/>
        <w:rPr>
          <w:lang w:val="es-AR"/>
        </w:rPr>
      </w:pPr>
      <w:bookmarkStart w:id="12" w:name="_Toc93568115"/>
      <w:r>
        <w:t>¿Quién necesita obtener una aprobación para un CDL?</w:t>
      </w:r>
      <w:bookmarkEnd w:id="12"/>
    </w:p>
    <w:p>
      <w:pPr>
        <w:pStyle w:val="BodyText"/>
        <w:rPr>
          <w:lang w:val="es-AR"/>
        </w:rPr>
      </w:pPr>
    </w:p>
    <w:p>
      <w:pPr>
        <w:pStyle w:val="BodyText"/>
        <w:rPr>
          <w:sz w:val="22"/>
          <w:szCs w:val="22"/>
          <w:lang w:val="es-AR"/>
        </w:rPr>
      </w:pPr>
      <w:r>
        <w:rPr>
          <w:rFonts w:eastAsia="Arial"/>
          <w:sz w:val="22"/>
          <w:szCs w:val="22"/>
          <w:lang w:val="es-ES_tradnl"/>
        </w:rPr>
        <w:t xml:space="preserve">Se requiere un certificado de materiales peligrosos (HM) en una licencia comercial de conducir (CDL) para conducir un vehículo de motor utilizado para transportar HM en el comercio. De acuerdo con 49 CFR 383.93, los titulares de CDL que hayan superado las pruebas de conocimientos y habilidades prescritas en 49 CFR Parte 383, Subparte G, deben obtener los certificados especializados requeridos al operar los tipos de vehículos descritos en 49 CFR 383.93(b). Como resultado, un conductor puede requerir distintos certificados, como uno de materiales peligrosos y otro de “autotanque”. Los estados emiten certificados a los conductores que completan con éxito los requisitos de prueba específicos del certificado que el titular de la CDL desea obtener. Para los fines de la CDL y el certificado de materiales peligrosos, los materiales peligrosos se definen en 49 CFR 383.5. </w:t>
      </w:r>
    </w:p>
    <w:p>
      <w:pPr>
        <w:pStyle w:val="Heading2"/>
      </w:pPr>
    </w:p>
    <w:p>
      <w:pPr>
        <w:pStyle w:val="Heading2"/>
        <w:rPr>
          <w:lang w:val="es-AR"/>
        </w:rPr>
      </w:pPr>
      <w:bookmarkStart w:id="13" w:name="_Toc93568116"/>
      <w:r>
        <w:t>¿Cuáles son los requisitos de prueba para los certificados de CDL?</w:t>
      </w:r>
      <w:bookmarkEnd w:id="13"/>
    </w:p>
    <w:p>
      <w:pPr>
        <w:pStyle w:val="Heading2"/>
      </w:pPr>
    </w:p>
    <w:p>
      <w:pPr>
        <w:pStyle w:val="BodyText"/>
        <w:rPr>
          <w:sz w:val="22"/>
          <w:szCs w:val="22"/>
          <w:lang w:val="es-AR"/>
        </w:rPr>
      </w:pPr>
      <w:r>
        <w:rPr>
          <w:rFonts w:eastAsia="Arial"/>
          <w:sz w:val="22"/>
          <w:szCs w:val="22"/>
          <w:lang w:val="es-ES_tradnl"/>
        </w:rPr>
        <w:t xml:space="preserve">Los certificado requieren las pruebas especificadas en 49 CFR 383.93(c). En concreto, la aprobación de materiales peligrosos, requiere una prueba de conocimientos. Dependiendo del tipo de vehículo motorizado comercial que el titular de la licencia CDL desee operar, pueden exigirse requisitos de prueba adicionales. Por ejemplo, de conformidad con 49 CFR 383.93(c)(1), un titular de CDL que busca un certificado de materiales peligrosos y también busca operar un remolque doble o triple, debe realizar la prueba de conocimientos de materiales peligrosos, así como una prueba de conocimientos adicional, requerida para obtener el certificado para operar un remolque doble o triple. </w:t>
      </w:r>
    </w:p>
    <w:p>
      <w:pPr>
        <w:pStyle w:val="BodyText"/>
        <w:rPr>
          <w:lang w:val="es-AR"/>
        </w:rPr>
      </w:pPr>
      <w:r>
        <w:rPr>
          <w:noProof/>
          <w:lang w:eastAsia="zh-TW"/>
        </w:rPr>
        <mc:AlternateContent>
          <mc:Choice Requires="wps">
            <w:drawing>
              <wp:anchor distT="0" distB="0" distL="114300" distR="114300" simplePos="0" relativeHeight="251666432" behindDoc="1" locked="0" layoutInCell="1" allowOverlap="1">
                <wp:simplePos x="0" y="0"/>
                <wp:positionH relativeFrom="column">
                  <wp:posOffset>3487420</wp:posOffset>
                </wp:positionH>
                <wp:positionV relativeFrom="paragraph">
                  <wp:posOffset>166370</wp:posOffset>
                </wp:positionV>
                <wp:extent cx="2562225" cy="1296670"/>
                <wp:effectExtent l="0" t="0" r="3175" b="0"/>
                <wp:wrapTight wrapText="bothSides">
                  <wp:wrapPolygon edited="0">
                    <wp:start x="0" y="0"/>
                    <wp:lineTo x="0" y="21367"/>
                    <wp:lineTo x="21520" y="21367"/>
                    <wp:lineTo x="21520" y="0"/>
                    <wp:lineTo x="0" y="0"/>
                  </wp:wrapPolygon>
                </wp:wrapTight>
                <wp:docPr id="5" name="Rectangle 5"/>
                <wp:cNvGraphicFramePr/>
                <a:graphic xmlns:a="http://schemas.openxmlformats.org/drawingml/2006/main">
                  <a:graphicData uri="http://schemas.microsoft.com/office/word/2010/wordprocessingShape">
                    <wps:wsp>
                      <wps:cNvSpPr/>
                      <wps:spPr>
                        <a:xfrm>
                          <a:off x="0" y="0"/>
                          <a:ext cx="2562225" cy="1296670"/>
                        </a:xfrm>
                        <a:prstGeom prst="rect">
                          <a:avLst/>
                        </a:prstGeom>
                        <a:solidFill>
                          <a:srgbClr val="00164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lang w:val="es-AR"/>
                              </w:rPr>
                            </w:pPr>
                            <w:r>
                              <w:rPr>
                                <w:rFonts w:eastAsia="Arial"/>
                                <w:color w:val="FFFFFF"/>
                                <w:lang w:val="es-ES_tradnl"/>
                              </w:rPr>
                              <w:t xml:space="preserve">Vea la información de </w:t>
                            </w:r>
                            <w:r>
                              <w:rPr>
                                <w:rFonts w:eastAsia="Arial"/>
                                <w:color w:val="FFFFFF"/>
                                <w:lang w:val="es-ES_tradnl"/>
                              </w:rPr>
                              <w:br/>
                              <w:t xml:space="preserve">regulación de ELDT en: </w:t>
                            </w:r>
                          </w:p>
                          <w:p>
                            <w:pPr>
                              <w:pStyle w:val="BodyText"/>
                              <w:jc w:val="center"/>
                              <w:rPr>
                                <w:b/>
                                <w:bCs/>
                                <w:color w:val="EEB111" w:themeColor="accent2"/>
                                <w:lang w:val="es-AR"/>
                              </w:rPr>
                            </w:pPr>
                            <w:hyperlink w:history="1">
                              <w:r>
                                <w:rPr>
                                  <w:rStyle w:val="Hyperlink"/>
                                  <w:b/>
                                  <w:bCs/>
                                  <w:color w:val="EEB111" w:themeColor="accent2"/>
                                  <w:u w:val="none"/>
                                  <w:lang w:val="es-AR"/>
                                </w:rPr>
                                <w:t>www.fmcsa.dot.gov/registration/commercial-drivers-license/entry-level-driver-training-eldt</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5" o:spid="_x0000_s1028" style="position:absolute;margin-left:274.6pt;margin-top:13.1pt;width:201.75pt;height:102.1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" fillcolor="#001647" stroked="f" strokeweight="1pt">
                <v:textbox>
                  <w:txbxContent>
                    <w:p>
                      <w:pPr>
                        <w:jc w:val="center"/>
                        <w:rPr>
                          <w:lang w:val="es-AR"/>
                        </w:rPr>
                      </w:pPr>
                      <w:r>
                        <w:rPr>
                          <w:rFonts w:eastAsia="Arial"/>
                          <w:color w:val="FFFFFF"/>
                          <w:lang w:val="es-ES_tradnl"/>
                        </w:rPr>
                        <w:t xml:space="preserve">Vea la información de </w:t>
                      </w:r>
                      <w:r>
                        <w:rPr>
                          <w:rFonts w:eastAsia="Arial"/>
                          <w:color w:val="FFFFFF"/>
                          <w:lang w:val="es-ES_tradnl"/>
                        </w:rPr>
                        <w:br/>
                        <w:t xml:space="preserve">regulación de </w:t>
                      </w:r>
                      <w:proofErr w:type="spellStart"/>
                      <w:r>
                        <w:rPr>
                          <w:rFonts w:eastAsia="Arial"/>
                          <w:color w:val="FFFFFF"/>
                          <w:lang w:val="es-ES_tradnl"/>
                        </w:rPr>
                        <w:t>ELDT</w:t>
                      </w:r>
                      <w:proofErr w:type="spellEnd"/>
                      <w:r>
                        <w:rPr>
                          <w:rFonts w:eastAsia="Arial"/>
                          <w:color w:val="FFFFFF"/>
                          <w:lang w:val="es-ES_tradnl"/>
                        </w:rPr>
                        <w:t xml:space="preserve"> en: </w:t>
                      </w:r>
                    </w:p>
                    <w:p>
                      <w:pPr>
                        <w:pStyle w:val="BodyText"/>
                        <w:jc w:val="center"/>
                        <w:rPr>
                          <w:b/>
                          <w:bCs/>
                          <w:color w:val="EEB111" w:themeColor="accent2"/>
                          <w:lang w:val="es-AR"/>
                        </w:rPr>
                      </w:pPr>
                      <w:hyperlink w:history="1">
                        <w:r>
                          <w:rPr>
                            <w:rStyle w:val="Hyperlink"/>
                            <w:b/>
                            <w:bCs/>
                            <w:color w:val="EEB111" w:themeColor="accent2"/>
                            <w:u w:val="none"/>
                            <w:lang w:val="es-AR"/>
                          </w:rPr>
                          <w:t>www.fmcsa.dot.gov/registration/commercial-drivers-license/entry-level-driver-training-eldt</w:t>
                        </w:r>
                      </w:hyperlink>
                    </w:p>
                  </w:txbxContent>
                </v:textbox>
                <w10:wrap type="tight"/>
              </v:rect>
            </w:pict>
          </mc:Fallback>
        </mc:AlternateContent>
      </w:r>
    </w:p>
    <w:p>
      <w:pPr>
        <w:pStyle w:val="BodyText"/>
        <w:rPr>
          <w:sz w:val="22"/>
          <w:szCs w:val="22"/>
          <w:lang w:val="es-AR"/>
        </w:rPr>
      </w:pPr>
      <w:r>
        <w:rPr>
          <w:rFonts w:eastAsia="Arial"/>
          <w:sz w:val="22"/>
          <w:szCs w:val="22"/>
          <w:lang w:val="es-ES_tradnl"/>
        </w:rPr>
        <w:t>Además, de conformidad con 49 CFR 380, Subparte F, FMCSA ha establecido nuevas normas de capacitación para personas que solicitan su CDL por primera vez; una mejora de su CDL (</w:t>
      </w:r>
      <w:r>
        <w:rPr>
          <w:rFonts w:eastAsia="Arial"/>
          <w:i/>
          <w:iCs/>
          <w:sz w:val="22"/>
          <w:szCs w:val="22"/>
          <w:lang w:val="es-ES_tradnl"/>
        </w:rPr>
        <w:t xml:space="preserve">por ejemplo, </w:t>
      </w:r>
      <w:r>
        <w:rPr>
          <w:rFonts w:eastAsia="Arial"/>
          <w:sz w:val="22"/>
          <w:szCs w:val="22"/>
          <w:lang w:val="es-ES_tradnl"/>
        </w:rPr>
        <w:t>un titular de CDL de Clase B que busca un CDL de Clase A); o un material peligroso (H), pasajero (P) o autobús escolares (S) por primera vez. A partir del 7 de febrero de 2022, los Estados deben verificar que los solicitantes de CDL y las aprobaciones mencionadas anteriormente hayan completado con éxito la capacitación de conductor de nivel básico (Entry-level Driver Training, ELDT) pertinente antes de administrar las habilidades de CDL o la prueba de conocimientos requeridas para el certificado H. Estas personas están sujetas a los requisitos del ELDT y deben completar un programa de instrucciones prescrito proporcionado por una entidad que figura en el Registro de proveedores de capacitación (Training Provider Registry, TPR) de FMCSA.</w:t>
      </w:r>
    </w:p>
    <w:p>
      <w:pPr>
        <w:pStyle w:val="BodyText"/>
        <w:rPr>
          <w:lang w:val="es-AR"/>
        </w:rPr>
      </w:pPr>
    </w:p>
    <w:p>
      <w:pPr>
        <w:pStyle w:val="BodyText"/>
        <w:rPr>
          <w:lang w:val="es-AR"/>
        </w:rPr>
      </w:pPr>
      <w:r>
        <w:rPr>
          <w:rFonts w:eastAsia="Arial"/>
          <w:sz w:val="22"/>
          <w:szCs w:val="22"/>
          <w:lang w:val="es-ES_tradnl"/>
        </w:rPr>
        <w:t>Los requisitos de ELDT no se aplican a personas que posean un CDL válido o un certificado H, P o S emitido con anterioridad al 7 de febrero de 2022. Las personas que obtengan un permiso de aprendiz comercial (Commercial Learner’s Permit, CLP) antes de la fecha de cumplimiento</w:t>
      </w:r>
      <w:r>
        <w:rPr>
          <w:rFonts w:eastAsia="Arial"/>
          <w:lang w:val="es-ES_tradnl"/>
        </w:rPr>
        <w:t xml:space="preserve"> </w:t>
      </w:r>
      <w:r>
        <w:rPr>
          <w:rFonts w:eastAsia="Arial"/>
          <w:sz w:val="22"/>
          <w:szCs w:val="22"/>
          <w:lang w:val="es-ES_tradnl"/>
        </w:rPr>
        <w:t>del 7 de febrero de 2022 no están sujetas a los requisitos de ELDT si obtienen un CDL antes de la fecha de vencimiento del CLP o del CLP renovado</w:t>
      </w:r>
      <w:r>
        <w:rPr>
          <w:rFonts w:eastAsia="Arial"/>
          <w:lang w:val="es-ES_tradnl"/>
        </w:rPr>
        <w:t xml:space="preserve">. </w:t>
      </w:r>
    </w:p>
    <w:p>
      <w:pPr>
        <w:pStyle w:val="Heading1"/>
        <w:rPr>
          <w:lang w:val="es-AR"/>
        </w:rPr>
      </w:pPr>
      <w:bookmarkStart w:id="14" w:name="_Toc93568117"/>
      <w:r>
        <w:rPr>
          <w:rFonts w:eastAsia="Arial"/>
          <w:color w:val="FFFFFF"/>
          <w:szCs w:val="26"/>
          <w:lang w:val="es-ES_tradnl"/>
        </w:rPr>
        <w:lastRenderedPageBreak/>
        <w:t>Capacitación</w:t>
      </w:r>
      <w:bookmarkEnd w:id="14"/>
    </w:p>
    <w:p>
      <w:pPr>
        <w:pStyle w:val="Heading2"/>
      </w:pPr>
    </w:p>
    <w:p>
      <w:pPr>
        <w:pStyle w:val="Heading2"/>
        <w:rPr>
          <w:lang w:val="es-AR"/>
        </w:rPr>
      </w:pPr>
      <w:bookmarkStart w:id="15" w:name="_Toc93568118"/>
      <w:r>
        <w:t>¿Qué capacitación se necesita?</w:t>
      </w:r>
      <w:bookmarkEnd w:id="15"/>
    </w:p>
    <w:p>
      <w:pPr>
        <w:pStyle w:val="Heading2"/>
      </w:pPr>
    </w:p>
    <w:p>
      <w:pPr>
        <w:pStyle w:val="BodyText"/>
        <w:rPr>
          <w:lang w:val="es-ES"/>
        </w:rPr>
      </w:pPr>
      <w:r>
        <w:rPr>
          <w:rFonts w:eastAsia="Arial"/>
          <w:lang w:val="es-ES_tradnl"/>
        </w:rPr>
        <w:t xml:space="preserve">De acuerdo con el 49 CFR Parte 172, Subparte H, es necesario que todos los empleados de materiales peligrosos (hazmat) reciban capacitación, tal como se define en el 49 CFR 171.8. Para obtener más información sobre estos requisitos, consulte: </w:t>
      </w:r>
      <w:hyperlink w:history="1">
        <w:r>
          <w:rPr>
            <w:rFonts w:eastAsia="Arial"/>
            <w:color w:val="215E9E"/>
            <w:u w:val="single"/>
            <w:lang w:val="es-ES_tradnl"/>
          </w:rPr>
          <w:t>www.fmcsa.dot.gov/regulations/hazardous-materials/how-comply-federal-hazardous-materials-regulations</w:t>
        </w:r>
      </w:hyperlink>
      <w:hyperlink w:history="1">
        <w:r>
          <w:rPr>
            <w:rFonts w:eastAsia="Arial"/>
            <w:lang w:val="es-ES_tradnl"/>
          </w:rPr>
          <w:t>.</w:t>
        </w:r>
      </w:hyperlink>
      <w:r>
        <w:rPr>
          <w:rFonts w:eastAsia="Arial"/>
          <w:lang w:val="es-ES_tradnl"/>
        </w:rPr>
        <w:t xml:space="preserve"> </w:t>
      </w:r>
    </w:p>
    <w:p>
      <w:pPr>
        <w:pStyle w:val="BodyText"/>
        <w:rPr>
          <w:lang w:val="es-ES"/>
        </w:rPr>
      </w:pPr>
      <w:r>
        <w:rPr>
          <w:lang w:val="es-ES"/>
        </w:rPr>
        <w:t xml:space="preserve"> </w:t>
      </w:r>
    </w:p>
    <w:p>
      <w:pPr>
        <w:pStyle w:val="BodyText"/>
        <w:rPr>
          <w:lang w:val="es-AR"/>
        </w:rPr>
      </w:pPr>
      <w:r>
        <w:rPr>
          <w:rFonts w:eastAsia="Arial"/>
          <w:lang w:val="es-ES_tradnl"/>
        </w:rPr>
        <w:t>De conformidad con 49 CFR 172.704(c), todos los empleados de materiales peligrosos deben completar la capacitación inicial dentro de los 90 días posteriores al empleo o asignación a una nueva función laboral. La capacitación recurrente debe completarse al menos una vez cada tres años,</w:t>
      </w:r>
      <w:r>
        <w:rPr>
          <w:rFonts w:eastAsia="Arial" w:cs="Arial"/>
          <w:lang w:val="es-ES_tradnl"/>
        </w:rPr>
        <w:t xml:space="preserve"> pero si se ha realizado una revisión del plan de seguridad para el que se requiere capacitación, la capacitación de seguridad en profundidad debe realizarse en un plazo de 90 días desde la implementación del plan revisado</w:t>
      </w:r>
      <w:r>
        <w:rPr>
          <w:rFonts w:eastAsia="Arial"/>
          <w:lang w:val="es-ES_tradnl"/>
        </w:rPr>
        <w:t xml:space="preserve">. </w:t>
      </w:r>
    </w:p>
    <w:p>
      <w:pPr>
        <w:pStyle w:val="Heading2"/>
      </w:pPr>
      <w:r>
        <w:t xml:space="preserve"> </w:t>
      </w:r>
    </w:p>
    <w:p>
      <w:pPr>
        <w:pStyle w:val="Heading2"/>
        <w:rPr>
          <w:lang w:val="es-AR"/>
        </w:rPr>
      </w:pPr>
      <w:bookmarkStart w:id="16" w:name="_Toc93568119"/>
      <w:r>
        <w:t>¿Qué capacitación especializada debe completar un conductor?</w:t>
      </w:r>
      <w:bookmarkEnd w:id="16"/>
    </w:p>
    <w:p>
      <w:pPr>
        <w:pStyle w:val="Heading2"/>
      </w:pPr>
    </w:p>
    <w:p>
      <w:pPr>
        <w:pStyle w:val="BodyText"/>
        <w:rPr>
          <w:lang w:val="es-AR"/>
        </w:rPr>
      </w:pPr>
      <w:r>
        <w:rPr>
          <w:rFonts w:eastAsia="Arial" w:cs="Arial"/>
          <w:lang w:val="es-ES_tradnl"/>
        </w:rPr>
        <w:t>Además de los requisitos generales de formación de la subparte H del 49 CFR parte 172, existen requisitos de capacitación adicionales para conductores en el 49 CFR 177.816, que pueden satisfacerse con la posesión de una CDL válida con certificados de HM o cisterna</w:t>
      </w:r>
      <w:r>
        <w:rPr>
          <w:rFonts w:eastAsia="Arial"/>
          <w:lang w:val="es-ES_tradnl"/>
        </w:rPr>
        <w:t>, pero que incluyen:</w:t>
      </w:r>
    </w:p>
    <w:p>
      <w:pPr>
        <w:pStyle w:val="BodyText"/>
        <w:rPr>
          <w:lang w:val="es-AR"/>
        </w:rPr>
      </w:pPr>
    </w:p>
    <w:p>
      <w:pPr>
        <w:pStyle w:val="indent-2"/>
        <w:numPr>
          <w:ilvl w:val="0"/>
          <w:numId w:val="13"/>
        </w:numPr>
        <w:spacing w:before="0" w:beforeAutospacing="0" w:after="0" w:afterAutospacing="0"/>
        <w:rPr>
          <w:rFonts w:ascii="Arial" w:hAnsi="Arial" w:cs="Arial"/>
          <w:lang w:val="es-AR"/>
        </w:rPr>
      </w:pPr>
      <w:r>
        <w:rPr>
          <w:rFonts w:ascii="Arial" w:eastAsia="Arial" w:hAnsi="Arial" w:cs="Arial"/>
          <w:lang w:val="es-ES_tradnl"/>
        </w:rPr>
        <w:t>Inspección de seguridad previa al viaje;</w:t>
      </w:r>
    </w:p>
    <w:p>
      <w:pPr>
        <w:pStyle w:val="indent-2"/>
        <w:numPr>
          <w:ilvl w:val="0"/>
          <w:numId w:val="13"/>
        </w:numPr>
        <w:spacing w:before="0" w:beforeAutospacing="0" w:after="0" w:afterAutospacing="0"/>
        <w:rPr>
          <w:rFonts w:ascii="Arial" w:hAnsi="Arial" w:cs="Arial"/>
          <w:lang w:val="es-AR"/>
        </w:rPr>
      </w:pPr>
      <w:r>
        <w:rPr>
          <w:rFonts w:ascii="Arial" w:eastAsia="Arial" w:hAnsi="Arial" w:cs="Arial"/>
          <w:lang w:val="es-ES_tradnl"/>
        </w:rPr>
        <w:t xml:space="preserve">Uso de controles y equipos de vehículos, incluida la operación de equipos de emergencia; </w:t>
      </w:r>
    </w:p>
    <w:p>
      <w:pPr>
        <w:pStyle w:val="indent-2"/>
        <w:numPr>
          <w:ilvl w:val="0"/>
          <w:numId w:val="13"/>
        </w:numPr>
        <w:spacing w:before="0" w:beforeAutospacing="0" w:after="0" w:afterAutospacing="0"/>
        <w:rPr>
          <w:rFonts w:ascii="Arial" w:hAnsi="Arial" w:cs="Arial"/>
          <w:lang w:val="es-AR"/>
        </w:rPr>
      </w:pPr>
      <w:r>
        <w:rPr>
          <w:rFonts w:ascii="Arial" w:eastAsia="Arial" w:hAnsi="Arial" w:cs="Arial"/>
          <w:lang w:val="es-ES_tradnl"/>
        </w:rPr>
        <w:t xml:space="preserve">Uso del vehículo, incluidos giros, marcha atrás, frenado, aparcamiento, maniobrabilidad y características del vehículo, incluidos los que afectan la estabilidad del vehículo, como efectos de frenado y curvas, efectos de velocidad en el control del vehículo, peligros asociados con maniobras a través de curvas, peligros asociados con condiciones meteorológicas o de carretera que pueda experimentar un conductor (por ejemplo, ventiscas, terreno montañoso, fuertes vientos), alta gravedad); </w:t>
      </w:r>
    </w:p>
    <w:p>
      <w:pPr>
        <w:pStyle w:val="indent-2"/>
        <w:numPr>
          <w:ilvl w:val="0"/>
          <w:numId w:val="13"/>
        </w:numPr>
        <w:spacing w:before="0" w:beforeAutospacing="0" w:after="0" w:afterAutospacing="0"/>
        <w:rPr>
          <w:rFonts w:ascii="Arial" w:hAnsi="Arial" w:cs="Arial"/>
          <w:lang w:val="es-AR"/>
        </w:rPr>
      </w:pPr>
      <w:r>
        <w:rPr>
          <w:rFonts w:ascii="Arial" w:eastAsia="Arial" w:hAnsi="Arial" w:cs="Arial"/>
          <w:lang w:val="es-ES_tradnl"/>
        </w:rPr>
        <w:t xml:space="preserve">Procedimientos para maniobrar en túneles, puentes y cruces ferroviarios; </w:t>
      </w:r>
    </w:p>
    <w:p>
      <w:pPr>
        <w:pStyle w:val="indent-2"/>
        <w:numPr>
          <w:ilvl w:val="0"/>
          <w:numId w:val="13"/>
        </w:numPr>
        <w:spacing w:before="0" w:beforeAutospacing="0" w:after="0" w:afterAutospacing="0"/>
        <w:rPr>
          <w:rFonts w:ascii="Arial" w:hAnsi="Arial" w:cs="Arial"/>
          <w:lang w:val="es-AR"/>
        </w:rPr>
      </w:pPr>
      <w:r>
        <w:rPr>
          <w:rFonts w:ascii="Arial" w:eastAsia="Arial" w:hAnsi="Arial" w:cs="Arial"/>
          <w:lang w:val="es-ES_tradnl"/>
        </w:rPr>
        <w:t xml:space="preserve">Requisitos relacionados a la asistencia de vehículos, estacionamiento, consumo de tabaco, rutas e informes de incidentes; y </w:t>
      </w:r>
    </w:p>
    <w:p>
      <w:pPr>
        <w:pStyle w:val="indent-2"/>
        <w:numPr>
          <w:ilvl w:val="0"/>
          <w:numId w:val="13"/>
        </w:numPr>
        <w:spacing w:before="0" w:beforeAutospacing="0" w:after="0" w:afterAutospacing="0"/>
        <w:rPr>
          <w:rFonts w:ascii="Arial" w:hAnsi="Arial" w:cs="Arial"/>
          <w:lang w:val="es-AR"/>
        </w:rPr>
      </w:pPr>
      <w:r>
        <w:rPr>
          <w:rFonts w:ascii="Arial" w:eastAsia="Arial" w:hAnsi="Arial" w:cs="Arial"/>
          <w:lang w:val="es-ES_tradnl"/>
        </w:rPr>
        <w:t xml:space="preserve">Carga y descarga de materiales, incluidos: </w:t>
      </w:r>
    </w:p>
    <w:p>
      <w:pPr>
        <w:pStyle w:val="indent-2"/>
        <w:numPr>
          <w:ilvl w:val="1"/>
          <w:numId w:val="13"/>
        </w:numPr>
        <w:spacing w:before="0" w:beforeAutospacing="0" w:after="0" w:afterAutospacing="0"/>
        <w:rPr>
          <w:rFonts w:ascii="Arial" w:hAnsi="Arial" w:cs="Arial"/>
          <w:lang w:val="es-AR"/>
        </w:rPr>
      </w:pPr>
      <w:r>
        <w:rPr>
          <w:rFonts w:ascii="Arial" w:eastAsia="Arial" w:hAnsi="Arial" w:cs="Arial"/>
          <w:lang w:val="es-ES_tradnl"/>
        </w:rPr>
        <w:t>Compatibilidad y segregación de la carga en un cargamento mixto;</w:t>
      </w:r>
    </w:p>
    <w:p>
      <w:pPr>
        <w:pStyle w:val="indent-2"/>
        <w:numPr>
          <w:ilvl w:val="1"/>
          <w:numId w:val="13"/>
        </w:numPr>
        <w:spacing w:before="0" w:beforeAutospacing="0" w:after="0" w:afterAutospacing="0"/>
        <w:rPr>
          <w:rFonts w:ascii="Arial" w:hAnsi="Arial" w:cs="Arial"/>
          <w:lang w:val="es-AR"/>
        </w:rPr>
      </w:pPr>
      <w:r>
        <w:rPr>
          <w:rFonts w:ascii="Arial" w:eastAsia="Arial" w:hAnsi="Arial" w:cs="Arial"/>
          <w:lang w:val="es-ES_tradnl"/>
        </w:rPr>
        <w:t>Métodos de manipulación de paquetes; y</w:t>
      </w:r>
    </w:p>
    <w:p>
      <w:pPr>
        <w:pStyle w:val="indent-2"/>
        <w:numPr>
          <w:ilvl w:val="1"/>
          <w:numId w:val="13"/>
        </w:numPr>
        <w:spacing w:before="0" w:beforeAutospacing="0" w:after="0" w:afterAutospacing="0"/>
        <w:rPr>
          <w:rFonts w:ascii="Arial" w:hAnsi="Arial" w:cs="Arial"/>
        </w:rPr>
      </w:pPr>
      <w:r>
        <w:rPr>
          <w:rFonts w:ascii="Arial" w:eastAsia="Arial" w:hAnsi="Arial" w:cs="Arial"/>
          <w:lang w:val="es-ES_tradnl"/>
        </w:rPr>
        <w:t>Sujeción de la carga.</w:t>
      </w:r>
    </w:p>
    <w:p>
      <w:pPr>
        <w:pStyle w:val="indent-3"/>
        <w:spacing w:before="0" w:beforeAutospacing="0" w:after="0" w:afterAutospacing="0"/>
        <w:rPr>
          <w:rFonts w:ascii="Arial" w:hAnsi="Arial" w:cs="Arial"/>
        </w:rPr>
      </w:pPr>
    </w:p>
    <w:p>
      <w:pPr>
        <w:pStyle w:val="indent-3"/>
        <w:spacing w:before="0" w:beforeAutospacing="0" w:after="0" w:afterAutospacing="0"/>
        <w:rPr>
          <w:rFonts w:ascii="Arial" w:hAnsi="Arial" w:cs="Arial"/>
          <w:lang w:val="es-AR"/>
        </w:rPr>
      </w:pPr>
      <w:r>
        <w:rPr>
          <w:rFonts w:ascii="Arial" w:eastAsia="Arial" w:hAnsi="Arial" w:cs="Arial"/>
          <w:lang w:val="es-ES_tradnl"/>
        </w:rPr>
        <w:t>Además, para los conductores que manejen cisternas de carga o vehículos con determinadas cisternas portátiles:</w:t>
      </w:r>
    </w:p>
    <w:p>
      <w:pPr>
        <w:pStyle w:val="indent-2"/>
        <w:spacing w:before="0" w:beforeAutospacing="0" w:after="0" w:afterAutospacing="0"/>
        <w:rPr>
          <w:rFonts w:ascii="Arial" w:hAnsi="Arial" w:cs="Arial"/>
          <w:lang w:val="es-AR"/>
        </w:rPr>
      </w:pPr>
    </w:p>
    <w:p>
      <w:pPr>
        <w:pStyle w:val="indent-2"/>
        <w:numPr>
          <w:ilvl w:val="0"/>
          <w:numId w:val="14"/>
        </w:numPr>
        <w:spacing w:before="0" w:beforeAutospacing="0" w:after="0" w:afterAutospacing="0"/>
        <w:rPr>
          <w:rFonts w:ascii="Arial" w:hAnsi="Arial" w:cs="Arial"/>
          <w:lang w:val="es-AR"/>
        </w:rPr>
      </w:pPr>
      <w:r>
        <w:rPr>
          <w:rFonts w:ascii="Arial" w:eastAsia="Arial" w:hAnsi="Arial" w:cs="Arial"/>
          <w:lang w:val="es-ES_tradnl"/>
        </w:rPr>
        <w:t xml:space="preserve">Funcionamiento de los dispositivos de control de emergencia de la cisterna de carga o de la cisterna portátil; </w:t>
      </w:r>
    </w:p>
    <w:p>
      <w:pPr>
        <w:pStyle w:val="indent-2"/>
        <w:numPr>
          <w:ilvl w:val="0"/>
          <w:numId w:val="14"/>
        </w:numPr>
        <w:spacing w:before="0" w:beforeAutospacing="0" w:after="0" w:afterAutospacing="0"/>
        <w:rPr>
          <w:rFonts w:ascii="Arial" w:hAnsi="Arial" w:cs="Arial"/>
          <w:lang w:val="es-AR"/>
        </w:rPr>
      </w:pPr>
      <w:r>
        <w:rPr>
          <w:rFonts w:ascii="Arial" w:eastAsia="Arial" w:hAnsi="Arial" w:cs="Arial"/>
          <w:lang w:val="es-ES_tradnl"/>
        </w:rPr>
        <w:t xml:space="preserve">Características especiales de maniobrabilidad del vehículo, que incluyen: centro de gravedad alto, carga de fluido sujeta a sobretensión, efectos de la sobretensión de la carga de fluido en el frenado, diferencias características de estabilidad entre tanques desviados, no desviados y con múltiples compartimentos y efectos de las cargas parciales en la estabilidad del vehículo; </w:t>
      </w:r>
    </w:p>
    <w:p>
      <w:pPr>
        <w:pStyle w:val="indent-2"/>
        <w:numPr>
          <w:ilvl w:val="0"/>
          <w:numId w:val="14"/>
        </w:numPr>
        <w:spacing w:before="0" w:beforeAutospacing="0" w:after="0" w:afterAutospacing="0"/>
        <w:rPr>
          <w:rFonts w:ascii="Arial" w:hAnsi="Arial" w:cs="Arial"/>
          <w:lang w:val="es-AR"/>
        </w:rPr>
      </w:pPr>
      <w:r>
        <w:rPr>
          <w:rFonts w:ascii="Arial" w:eastAsia="Arial" w:hAnsi="Arial" w:cs="Arial"/>
          <w:lang w:val="es-ES_tradnl"/>
        </w:rPr>
        <w:t xml:space="preserve">Procedimientos de carga y descarga; </w:t>
      </w:r>
    </w:p>
    <w:p>
      <w:pPr>
        <w:pStyle w:val="indent-2"/>
        <w:numPr>
          <w:ilvl w:val="0"/>
          <w:numId w:val="14"/>
        </w:numPr>
        <w:spacing w:before="0" w:beforeAutospacing="0" w:after="0" w:afterAutospacing="0"/>
        <w:rPr>
          <w:rFonts w:ascii="Arial" w:hAnsi="Arial" w:cs="Arial"/>
          <w:lang w:val="es-AR"/>
        </w:rPr>
      </w:pPr>
      <w:r>
        <w:rPr>
          <w:rFonts w:ascii="Arial" w:eastAsia="Arial" w:hAnsi="Arial" w:cs="Arial"/>
          <w:lang w:val="es-ES_tradnl"/>
        </w:rPr>
        <w:t xml:space="preserve">Las propiedades y peligros del material transportado; y </w:t>
      </w:r>
    </w:p>
    <w:p>
      <w:pPr>
        <w:pStyle w:val="indent-2"/>
        <w:numPr>
          <w:ilvl w:val="0"/>
          <w:numId w:val="14"/>
        </w:numPr>
        <w:spacing w:before="0" w:beforeAutospacing="0" w:after="0" w:afterAutospacing="0"/>
        <w:rPr>
          <w:rFonts w:ascii="Arial" w:hAnsi="Arial" w:cs="Arial"/>
          <w:lang w:val="es-AR"/>
        </w:rPr>
      </w:pPr>
      <w:r>
        <w:rPr>
          <w:rFonts w:ascii="Arial" w:eastAsia="Arial" w:hAnsi="Arial" w:cs="Arial"/>
          <w:lang w:val="es-ES_tradnl"/>
        </w:rPr>
        <w:t>Requisitos de repetición de pruebas e inspección para tanques de carga.</w:t>
      </w:r>
    </w:p>
    <w:p>
      <w:pPr>
        <w:rPr>
          <w:rFonts w:cs="Arial"/>
          <w:lang w:val="es-AR"/>
        </w:rPr>
      </w:pPr>
    </w:p>
    <w:p>
      <w:pPr>
        <w:pStyle w:val="Heading2"/>
        <w:rPr>
          <w:lang w:val="es-AR"/>
        </w:rPr>
      </w:pPr>
      <w:bookmarkStart w:id="17" w:name="_Toc93568120"/>
      <w:r>
        <w:t>¿Tengo que mantener registros de capacitación?</w:t>
      </w:r>
      <w:bookmarkEnd w:id="17"/>
    </w:p>
    <w:p>
      <w:pPr>
        <w:pStyle w:val="Heading2"/>
      </w:pPr>
    </w:p>
    <w:p>
      <w:pPr>
        <w:pStyle w:val="BodyText"/>
        <w:rPr>
          <w:lang w:val="es-AR"/>
        </w:rPr>
      </w:pPr>
      <w:r>
        <w:rPr>
          <w:rFonts w:eastAsia="Arial"/>
          <w:lang w:val="es-ES_tradnl"/>
        </w:rPr>
        <w:t>Sí. De acuerdo con 49 CFR 172.704(d), cada empleador de materiales peligrosos debe crear y conservar registros para cada empleado de materiales peligrosos durante el tiempo que dicho empleado esté empleado como empleado de materiales peligrosos, y durante 90 días posteriores.</w:t>
      </w:r>
      <w:r>
        <w:rPr>
          <w:rFonts w:eastAsia="Arial" w:cs="Arial"/>
          <w:lang w:val="es-ES_tradnl"/>
        </w:rPr>
        <w:t xml:space="preserve"> Los registros de</w:t>
      </w:r>
      <w:r>
        <w:rPr>
          <w:rFonts w:eastAsia="Arial"/>
          <w:lang w:val="es-ES_tradnl"/>
        </w:rPr>
        <w:t xml:space="preserve">lluvia deben incluir un registro de la capacitación actual de cada empleado de materiales peligrosos, incluidos los tres años anteriores. </w:t>
      </w:r>
    </w:p>
    <w:p>
      <w:pPr>
        <w:pStyle w:val="BodyText"/>
        <w:rPr>
          <w:lang w:val="es-AR"/>
        </w:rPr>
      </w:pPr>
      <w:r>
        <w:rPr>
          <w:b/>
          <w:lang w:val="es-AR"/>
        </w:rPr>
        <w:t xml:space="preserve"> </w:t>
      </w:r>
    </w:p>
    <w:p>
      <w:pPr>
        <w:pStyle w:val="BodyText"/>
        <w:rPr>
          <w:lang w:val="es-AR"/>
        </w:rPr>
      </w:pPr>
      <w:r>
        <w:rPr>
          <w:rFonts w:eastAsia="Arial"/>
          <w:lang w:val="es-ES_tradnl"/>
        </w:rPr>
        <w:t>Para obtener más información sobre capacitación,</w:t>
      </w:r>
      <w:r>
        <w:rPr>
          <w:rFonts w:eastAsia="Arial"/>
          <w:b/>
          <w:bCs/>
          <w:lang w:val="es-ES_tradnl"/>
        </w:rPr>
        <w:t xml:space="preserve"> </w:t>
      </w:r>
      <w:r>
        <w:rPr>
          <w:rFonts w:eastAsia="Arial"/>
          <w:lang w:val="es-ES_tradnl"/>
        </w:rPr>
        <w:t xml:space="preserve">consulte: </w:t>
      </w:r>
      <w:hyperlink w:history="1">
        <w:r>
          <w:rPr>
            <w:rFonts w:eastAsia="Arial"/>
            <w:color w:val="215E9E"/>
            <w:u w:val="single"/>
            <w:lang w:val="es-ES_tradnl"/>
          </w:rPr>
          <w:t>www.phmsa.dot.gov/training/hazmat/training-requirements-industry</w:t>
        </w:r>
      </w:hyperlink>
      <w:r>
        <w:rPr>
          <w:rFonts w:eastAsia="Arial"/>
          <w:lang w:val="es-ES_tradnl"/>
        </w:rPr>
        <w:t>.</w:t>
      </w:r>
      <w:hyperlink w:history="1"/>
    </w:p>
    <w:p>
      <w:pPr>
        <w:rPr>
          <w:b/>
          <w:bCs/>
          <w:caps/>
          <w:color w:val="FFFFFF" w:themeColor="background1"/>
          <w:sz w:val="26"/>
          <w:szCs w:val="32"/>
          <w:lang w:val="es-AR"/>
        </w:rPr>
      </w:pPr>
      <w:r>
        <w:rPr>
          <w:lang w:val="es-AR"/>
        </w:rPr>
        <w:br w:type="page"/>
      </w:r>
    </w:p>
    <w:p>
      <w:pPr>
        <w:pStyle w:val="Heading1"/>
        <w:rPr>
          <w:lang w:val="es-AR"/>
        </w:rPr>
      </w:pPr>
      <w:bookmarkStart w:id="18" w:name="_Toc93568121"/>
      <w:r>
        <w:rPr>
          <w:rFonts w:eastAsia="Arial"/>
          <w:color w:val="FFFFFF"/>
          <w:szCs w:val="26"/>
          <w:lang w:val="es-ES_tradnl"/>
        </w:rPr>
        <w:lastRenderedPageBreak/>
        <w:t>Requisitos de registro de PHMSA</w:t>
      </w:r>
      <w:bookmarkEnd w:id="18"/>
    </w:p>
    <w:p>
      <w:pPr>
        <w:pStyle w:val="BodyText"/>
        <w:rPr>
          <w:b/>
          <w:bCs/>
          <w:caps/>
          <w:color w:val="FFFFFF" w:themeColor="background1"/>
          <w:sz w:val="26"/>
          <w:szCs w:val="32"/>
          <w:lang w:val="es-AR"/>
        </w:rPr>
      </w:pPr>
    </w:p>
    <w:p>
      <w:pPr>
        <w:pStyle w:val="Heading2"/>
        <w:rPr>
          <w:lang w:val="es-AR"/>
        </w:rPr>
      </w:pPr>
      <w:bookmarkStart w:id="19" w:name="_Toc93568122"/>
      <w:r>
        <w:t>¿Quién debe registrarse en PHMSA?</w:t>
      </w:r>
      <w:bookmarkEnd w:id="19"/>
    </w:p>
    <w:p>
      <w:pPr>
        <w:pStyle w:val="BodyText"/>
        <w:rPr>
          <w:lang w:val="es-AR"/>
        </w:rPr>
      </w:pPr>
      <w:r>
        <w:rPr>
          <w:noProof/>
          <w:lang w:eastAsia="zh-TW"/>
        </w:rPr>
        <mc:AlternateContent>
          <mc:Choice Requires="wps">
            <w:drawing>
              <wp:anchor distT="0" distB="0" distL="114300" distR="114300" simplePos="0" relativeHeight="251663360" behindDoc="1" locked="0" layoutInCell="1" allowOverlap="1">
                <wp:simplePos x="0" y="0"/>
                <wp:positionH relativeFrom="column">
                  <wp:posOffset>3829050</wp:posOffset>
                </wp:positionH>
                <wp:positionV relativeFrom="paragraph">
                  <wp:posOffset>153670</wp:posOffset>
                </wp:positionV>
                <wp:extent cx="2179955" cy="1381125"/>
                <wp:effectExtent l="0" t="0" r="4445" b="3175"/>
                <wp:wrapTight wrapText="bothSides">
                  <wp:wrapPolygon edited="0">
                    <wp:start x="0" y="0"/>
                    <wp:lineTo x="0" y="21451"/>
                    <wp:lineTo x="21518" y="21451"/>
                    <wp:lineTo x="21518" y="0"/>
                    <wp:lineTo x="0" y="0"/>
                  </wp:wrapPolygon>
                </wp:wrapTight>
                <wp:docPr id="3" name="Rectangle 3"/>
                <wp:cNvGraphicFramePr/>
                <a:graphic xmlns:a="http://schemas.openxmlformats.org/drawingml/2006/main">
                  <a:graphicData uri="http://schemas.microsoft.com/office/word/2010/wordprocessingShape">
                    <wps:wsp>
                      <wps:cNvSpPr/>
                      <wps:spPr>
                        <a:xfrm>
                          <a:off x="0" y="0"/>
                          <a:ext cx="2179955" cy="1381125"/>
                        </a:xfrm>
                        <a:prstGeom prst="rect">
                          <a:avLst/>
                        </a:prstGeom>
                        <a:solidFill>
                          <a:srgbClr val="00164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color w:val="FFFFFF" w:themeColor="background1"/>
                                <w:lang w:val="es-AR"/>
                              </w:rPr>
                            </w:pPr>
                            <w:r>
                              <w:rPr>
                                <w:rFonts w:eastAsia="Arial"/>
                                <w:color w:val="FFFFFF"/>
                                <w:lang w:val="es-ES_tradnl"/>
                              </w:rPr>
                              <w:t xml:space="preserve">Vea toda la información de </w:t>
                            </w:r>
                            <w:r>
                              <w:rPr>
                                <w:rFonts w:eastAsia="Arial"/>
                                <w:color w:val="FFFFFF"/>
                                <w:lang w:val="es-ES_tradnl"/>
                              </w:rPr>
                              <w:br/>
                              <w:t xml:space="preserve">registro de PHMSA en: </w:t>
                            </w:r>
                            <w:hyperlink r:id="rId18" w:anchor="Who-Must-Register" w:history="1">
                              <w:r>
                                <w:rPr>
                                  <w:rFonts w:eastAsia="Arial"/>
                                  <w:b/>
                                  <w:bCs/>
                                  <w:color w:val="EEB111"/>
                                  <w:lang w:val="es-ES_tradnl"/>
                                </w:rPr>
                                <w:t>www.phmsa.dot.gov/</w:t>
                              </w:r>
                              <w:r>
                                <w:rPr>
                                  <w:rFonts w:eastAsia="Arial"/>
                                  <w:b/>
                                  <w:bCs/>
                                  <w:color w:val="EEB111"/>
                                  <w:lang w:val="es-ES_tradnl"/>
                                </w:rPr>
                                <w:br/>
                                <w:t>register/registration-information#</w:t>
                              </w:r>
                              <w:r>
                                <w:rPr>
                                  <w:rFonts w:eastAsia="Arial"/>
                                  <w:b/>
                                  <w:bCs/>
                                  <w:color w:val="EEB111"/>
                                  <w:lang w:val="es-ES_tradnl"/>
                                </w:rPr>
                                <w:br/>
                                <w:t>Who-Must-Register</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3" o:spid="_x0000_s1029" style="position:absolute;margin-left:301.5pt;margin-top:12.1pt;width:171.65pt;height:108.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" fillcolor="#001647" stroked="f" strokeweight="1pt">
                <v:textbox>
                  <w:txbxContent>
                    <w:p>
                      <w:pPr>
                        <w:jc w:val="center"/>
                        <w:rPr>
                          <w:color w:val="FFFFFF" w:themeColor="background1"/>
                          <w:lang w:val="es-AR"/>
                        </w:rPr>
                      </w:pPr>
                      <w:r>
                        <w:rPr>
                          <w:rFonts w:eastAsia="Arial"/>
                          <w:color w:val="FFFFFF"/>
                          <w:lang w:val="es-ES_tradnl"/>
                        </w:rPr>
                        <w:t xml:space="preserve">Vea toda la información de </w:t>
                      </w:r>
                      <w:r>
                        <w:rPr>
                          <w:rFonts w:eastAsia="Arial"/>
                          <w:color w:val="FFFFFF"/>
                          <w:lang w:val="es-ES_tradnl"/>
                        </w:rPr>
                        <w:br/>
                        <w:t xml:space="preserve">registro de </w:t>
                      </w:r>
                      <w:proofErr w:type="spellStart"/>
                      <w:r>
                        <w:rPr>
                          <w:rFonts w:eastAsia="Arial"/>
                          <w:color w:val="FFFFFF"/>
                          <w:lang w:val="es-ES_tradnl"/>
                        </w:rPr>
                        <w:t>PHMSA</w:t>
                      </w:r>
                      <w:proofErr w:type="spellEnd"/>
                      <w:r>
                        <w:rPr>
                          <w:rFonts w:eastAsia="Arial"/>
                          <w:color w:val="FFFFFF"/>
                          <w:lang w:val="es-ES_tradnl"/>
                        </w:rPr>
                        <w:t xml:space="preserve"> en: </w:t>
                      </w:r>
                      <w:hyperlink r:id="rId19" w:anchor="Who-Must-Register" w:history="1">
                        <w:r>
                          <w:rPr>
                            <w:rFonts w:eastAsia="Arial"/>
                            <w:b/>
                            <w:bCs/>
                            <w:color w:val="EEB111"/>
                            <w:lang w:val="es-ES_tradnl"/>
                          </w:rPr>
                          <w:t>www.phmsa.dot.gov/</w:t>
                        </w:r>
                        <w:r>
                          <w:rPr>
                            <w:rFonts w:eastAsia="Arial"/>
                            <w:b/>
                            <w:bCs/>
                            <w:color w:val="EEB111"/>
                            <w:lang w:val="es-ES_tradnl"/>
                          </w:rPr>
                          <w:br/>
                        </w:r>
                        <w:proofErr w:type="spellStart"/>
                        <w:r>
                          <w:rPr>
                            <w:rFonts w:eastAsia="Arial"/>
                            <w:b/>
                            <w:bCs/>
                            <w:color w:val="EEB111"/>
                            <w:lang w:val="es-ES_tradnl"/>
                          </w:rPr>
                          <w:t>register</w:t>
                        </w:r>
                        <w:proofErr w:type="spellEnd"/>
                        <w:r>
                          <w:rPr>
                            <w:rFonts w:eastAsia="Arial"/>
                            <w:b/>
                            <w:bCs/>
                            <w:color w:val="EEB111"/>
                            <w:lang w:val="es-ES_tradnl"/>
                          </w:rPr>
                          <w:t>/</w:t>
                        </w:r>
                        <w:proofErr w:type="spellStart"/>
                        <w:r>
                          <w:rPr>
                            <w:rFonts w:eastAsia="Arial"/>
                            <w:b/>
                            <w:bCs/>
                            <w:color w:val="EEB111"/>
                            <w:lang w:val="es-ES_tradnl"/>
                          </w:rPr>
                          <w:t>registration-information</w:t>
                        </w:r>
                        <w:proofErr w:type="spellEnd"/>
                        <w:r>
                          <w:rPr>
                            <w:rFonts w:eastAsia="Arial"/>
                            <w:b/>
                            <w:bCs/>
                            <w:color w:val="EEB111"/>
                            <w:lang w:val="es-ES_tradnl"/>
                          </w:rPr>
                          <w:t>#</w:t>
                        </w:r>
                        <w:r>
                          <w:rPr>
                            <w:rFonts w:eastAsia="Arial"/>
                            <w:b/>
                            <w:bCs/>
                            <w:color w:val="EEB111"/>
                            <w:lang w:val="es-ES_tradnl"/>
                          </w:rPr>
                          <w:br/>
                        </w:r>
                        <w:proofErr w:type="spellStart"/>
                        <w:r>
                          <w:rPr>
                            <w:rFonts w:eastAsia="Arial"/>
                            <w:b/>
                            <w:bCs/>
                            <w:color w:val="EEB111"/>
                            <w:lang w:val="es-ES_tradnl"/>
                          </w:rPr>
                          <w:t>Who-Must-Register</w:t>
                        </w:r>
                        <w:proofErr w:type="spellEnd"/>
                      </w:hyperlink>
                    </w:p>
                  </w:txbxContent>
                </v:textbox>
                <w10:wrap type="tight"/>
              </v:rect>
            </w:pict>
          </mc:Fallback>
        </mc:AlternateContent>
      </w:r>
    </w:p>
    <w:p>
      <w:pPr>
        <w:pStyle w:val="BodyText"/>
        <w:rPr>
          <w:lang w:val="es-AR"/>
        </w:rPr>
      </w:pPr>
      <w:r>
        <w:rPr>
          <w:rFonts w:eastAsia="Arial"/>
          <w:lang w:val="es-ES_tradnl"/>
        </w:rPr>
        <w:t xml:space="preserve">De acuerdo con 49 CFR 107.601, debe registrarse si es un individuo (según se define en 49 CFR 107.1, para obtener más información, consulte </w:t>
      </w:r>
      <w:hyperlink r:id="rId20" w:anchor="Person" w:history="1">
        <w:r>
          <w:rPr>
            <w:rFonts w:eastAsia="Arial"/>
            <w:color w:val="215E9E"/>
            <w:u w:val="single"/>
            <w:lang w:val="es-ES_tradnl"/>
          </w:rPr>
          <w:t>www.phmsa.dot.gov/registration/definition-registration-terms#Person</w:t>
        </w:r>
      </w:hyperlink>
      <w:r>
        <w:rPr>
          <w:rFonts w:eastAsia="Arial"/>
          <w:lang w:val="es-ES_tradnl"/>
        </w:rPr>
        <w:t>) que ofrece para el transporte o transporte en comercio un envío que contiene cualquiera de las siguientes categorías de materiales peligrosos (incluidos residuos peligrosos):</w:t>
      </w:r>
    </w:p>
    <w:p>
      <w:pPr>
        <w:pStyle w:val="BodyText"/>
        <w:rPr>
          <w:lang w:val="es-AR"/>
        </w:rPr>
      </w:pPr>
    </w:p>
    <w:p>
      <w:pPr>
        <w:pStyle w:val="BodyText"/>
        <w:numPr>
          <w:ilvl w:val="0"/>
          <w:numId w:val="2"/>
        </w:numPr>
        <w:rPr>
          <w:rFonts w:asciiTheme="minorHAnsi" w:eastAsiaTheme="minorEastAsia" w:hAnsiTheme="minorHAnsi" w:cstheme="minorBidi"/>
          <w:lang w:val="es-AR"/>
        </w:rPr>
      </w:pPr>
      <w:r>
        <w:rPr>
          <w:rFonts w:eastAsia="Arial"/>
          <w:lang w:val="es-ES_tradnl"/>
        </w:rPr>
        <w:t xml:space="preserve">Una cantidad controlada por carretera de un material Clase 7 (radioactivo), según se define en 49 CFR 173.403. Para obtener más información, consulte </w:t>
      </w:r>
      <w:hyperlink r:id="rId21" w:anchor="Highway-Route-Controlled-Quantity" w:history="1">
        <w:r>
          <w:rPr>
            <w:rFonts w:eastAsia="Arial"/>
            <w:color w:val="215E9E"/>
            <w:u w:val="single"/>
            <w:lang w:val="es-ES_tradnl"/>
          </w:rPr>
          <w:t>www.phmsa.dot.gov/registration/definition-registration-terms#Highway-Route-Controlled-Quantity</w:t>
        </w:r>
      </w:hyperlink>
      <w:r>
        <w:rPr>
          <w:rFonts w:eastAsia="Arial"/>
          <w:lang w:val="es-ES_tradnl"/>
        </w:rPr>
        <w:t>.</w:t>
      </w:r>
    </w:p>
    <w:p>
      <w:pPr>
        <w:pStyle w:val="BodyText"/>
        <w:numPr>
          <w:ilvl w:val="0"/>
          <w:numId w:val="2"/>
        </w:numPr>
        <w:rPr>
          <w:lang w:val="es-AR"/>
        </w:rPr>
      </w:pPr>
      <w:r>
        <w:rPr>
          <w:rFonts w:eastAsia="Arial"/>
          <w:lang w:val="es-ES_tradnl"/>
        </w:rPr>
        <w:t>Más de 25 kilogramos (55 libras) de un material de la División 1.1, 1.2 o 1.3 (explosivo) (ver 49 CFR 173.50) en un vehículo a motor, vagón o contenedor de carga.</w:t>
      </w:r>
    </w:p>
    <w:p>
      <w:pPr>
        <w:pStyle w:val="BodyText"/>
        <w:numPr>
          <w:ilvl w:val="0"/>
          <w:numId w:val="2"/>
        </w:numPr>
        <w:rPr>
          <w:lang w:val="es-AR"/>
        </w:rPr>
      </w:pPr>
      <w:r>
        <w:rPr>
          <w:rFonts w:eastAsia="Arial"/>
          <w:lang w:val="es-ES_tradnl"/>
        </w:rPr>
        <w:t>Más de un litro (1,06 cuartos) por paquete de un “material extremadamente tóxico por inhalación” (es decir, un “material venenoso por inhalación” como se define en 49 CFR 171.8 que cumple con los criterios para la “zona de peligro A” como se especifica en 49 CFR 173.116(a) para gases o 173.133(a) para líquidos).</w:t>
      </w:r>
    </w:p>
    <w:p>
      <w:pPr>
        <w:pStyle w:val="BodyText"/>
        <w:numPr>
          <w:ilvl w:val="0"/>
          <w:numId w:val="2"/>
        </w:numPr>
        <w:rPr>
          <w:lang w:val="es-AR"/>
        </w:rPr>
      </w:pPr>
      <w:r>
        <w:rPr>
          <w:rFonts w:eastAsia="Arial"/>
          <w:lang w:val="es-ES_tradnl"/>
        </w:rPr>
        <w:t xml:space="preserve">Un material peligroso (incluidos los residuos peligrosos) en un embalaje a granel (según se define en 49 CFR 171.8; para obtener más información, consulte </w:t>
      </w:r>
      <w:hyperlink r:id="rId22" w:anchor="Bulk-Packaging" w:history="1">
        <w:r>
          <w:rPr>
            <w:rFonts w:eastAsia="Arial"/>
            <w:color w:val="215E9E"/>
            <w:u w:val="single"/>
            <w:lang w:val="es-ES_tradnl"/>
          </w:rPr>
          <w:t>www.phmsa.dot.gov/registration/definition-registration-terms#Bulk-Packaging</w:t>
        </w:r>
      </w:hyperlink>
      <w:r>
        <w:rPr>
          <w:rFonts w:eastAsia="Arial"/>
          <w:lang w:val="es-ES_tradnl"/>
        </w:rPr>
        <w:t>) con una capacidad igual o superior a 13.248 litros (3500 galones) para líquidos o gases de 13,24 metros cúbicos (468 pies cúbicos) o más. Tenga en cuenta que las personas que ofrezcan o transporten materiales peligrosos que no requieran señalización (es decir, materiales de clase 9) en un embalaje a granel con una capacidad superior a 3500 galones o 468 pies cúbicos deben registrarse.</w:t>
      </w:r>
    </w:p>
    <w:p>
      <w:pPr>
        <w:pStyle w:val="BodyText"/>
        <w:numPr>
          <w:ilvl w:val="0"/>
          <w:numId w:val="2"/>
        </w:numPr>
        <w:rPr>
          <w:lang w:val="es-AR"/>
        </w:rPr>
      </w:pPr>
      <w:r>
        <w:rPr>
          <w:rFonts w:eastAsia="Arial"/>
          <w:lang w:val="es-ES_tradnl"/>
        </w:rPr>
        <w:t>Un envío en un embalaje distinto de un embalaje a granel de 2268 kilogramos (5000 libras) de peso bruto o más de una clase de materiales peligrosos (incluidos residuos peligrosos) para el cual se requiere la señalización de un vehículo, vagón o contenedor de carga para esa clase.</w:t>
      </w:r>
    </w:p>
    <w:p>
      <w:pPr>
        <w:pStyle w:val="BodyText"/>
        <w:numPr>
          <w:ilvl w:val="0"/>
          <w:numId w:val="2"/>
        </w:numPr>
        <w:rPr>
          <w:lang w:val="en"/>
        </w:rPr>
      </w:pPr>
      <w:r>
        <w:rPr>
          <w:rFonts w:eastAsia="Arial"/>
          <w:lang w:val="es-ES_tradnl"/>
        </w:rPr>
        <w:t xml:space="preserve">Una cantidad de material peligroso que requiere señalización, excepto la oferta y el transporte de materiales peligrosos por parte de los agricultores (según se define en 49 CFR 171.8; para más información, consulte </w:t>
      </w:r>
      <w:hyperlink r:id="rId23" w:anchor="Farmer" w:history="1">
        <w:r>
          <w:rPr>
            <w:rFonts w:eastAsia="Arial"/>
            <w:color w:val="215E9E"/>
            <w:u w:val="single"/>
            <w:lang w:val="es-ES_tradnl"/>
          </w:rPr>
          <w:t>www.phmsa.dot.gov/registration/definition-registration-terms#Farmer</w:t>
        </w:r>
      </w:hyperlink>
      <w:r>
        <w:rPr>
          <w:rFonts w:eastAsia="Arial"/>
          <w:lang w:val="es-ES_tradnl"/>
        </w:rPr>
        <w:t>) en apoyo directo de sus operaciones agrícolas. Consulte las excepciones a continuación.</w:t>
      </w:r>
    </w:p>
    <w:p>
      <w:pPr>
        <w:pStyle w:val="BodyText"/>
        <w:rPr>
          <w:lang w:val="en"/>
        </w:rPr>
      </w:pPr>
    </w:p>
    <w:p>
      <w:pPr>
        <w:pStyle w:val="BodyText"/>
      </w:pPr>
    </w:p>
    <w:p>
      <w:pPr>
        <w:pStyle w:val="Heading2"/>
      </w:pPr>
    </w:p>
    <w:p>
      <w:pPr>
        <w:pStyle w:val="Heading2"/>
      </w:pPr>
    </w:p>
    <w:p>
      <w:pPr>
        <w:pStyle w:val="Heading2"/>
        <w:rPr>
          <w:lang w:val="es-AR"/>
        </w:rPr>
      </w:pPr>
      <w:bookmarkStart w:id="20" w:name="_Toc93568123"/>
      <w:r>
        <w:lastRenderedPageBreak/>
        <w:t>¿Existen excepciones al registro de PHMSA?</w:t>
      </w:r>
      <w:bookmarkEnd w:id="20"/>
    </w:p>
    <w:p>
      <w:pPr>
        <w:pStyle w:val="BodyText"/>
        <w:rPr>
          <w:sz w:val="16"/>
          <w:szCs w:val="16"/>
          <w:lang w:val="es-AR"/>
        </w:rPr>
      </w:pPr>
    </w:p>
    <w:p>
      <w:pPr>
        <w:pStyle w:val="BodyText"/>
        <w:rPr>
          <w:lang w:val="es-AR"/>
        </w:rPr>
      </w:pPr>
      <w:r>
        <w:rPr>
          <w:rFonts w:eastAsia="Arial"/>
          <w:lang w:val="es-ES_tradnl"/>
        </w:rPr>
        <w:t>Sí, lo siguiente se excluye específicamente por ley o reglamento de los requisitos de registro:</w:t>
      </w:r>
    </w:p>
    <w:p>
      <w:pPr>
        <w:pStyle w:val="BodyText"/>
        <w:rPr>
          <w:sz w:val="16"/>
          <w:szCs w:val="16"/>
          <w:lang w:val="es-AR"/>
        </w:rPr>
      </w:pPr>
    </w:p>
    <w:p>
      <w:pPr>
        <w:pStyle w:val="BodyText"/>
        <w:numPr>
          <w:ilvl w:val="0"/>
          <w:numId w:val="5"/>
        </w:numPr>
        <w:rPr>
          <w:lang w:val="es-AR"/>
        </w:rPr>
      </w:pPr>
      <w:r>
        <w:rPr>
          <w:rFonts w:eastAsia="Arial"/>
          <w:lang w:val="es-ES_tradnl"/>
        </w:rPr>
        <w:t>Una agencia del gobierno federal.</w:t>
      </w:r>
    </w:p>
    <w:p>
      <w:pPr>
        <w:pStyle w:val="BodyText"/>
        <w:numPr>
          <w:ilvl w:val="0"/>
          <w:numId w:val="5"/>
        </w:numPr>
        <w:rPr>
          <w:lang w:val="en"/>
        </w:rPr>
      </w:pPr>
      <w:r>
        <w:rPr>
          <w:rFonts w:eastAsia="Arial"/>
          <w:lang w:val="es-ES_tradnl"/>
        </w:rPr>
        <w:t>Una agencia estatal.</w:t>
      </w:r>
    </w:p>
    <w:p>
      <w:pPr>
        <w:pStyle w:val="BodyText"/>
        <w:numPr>
          <w:ilvl w:val="0"/>
          <w:numId w:val="5"/>
        </w:numPr>
        <w:rPr>
          <w:lang w:val="es-AR"/>
        </w:rPr>
      </w:pPr>
      <w:r>
        <w:rPr>
          <w:rFonts w:eastAsia="Arial"/>
          <w:lang w:val="es-ES_tradnl"/>
        </w:rPr>
        <w:t>Agencia de una subdivisión política de un Estado.</w:t>
      </w:r>
    </w:p>
    <w:p>
      <w:pPr>
        <w:pStyle w:val="BodyText"/>
        <w:numPr>
          <w:ilvl w:val="0"/>
          <w:numId w:val="5"/>
        </w:numPr>
        <w:rPr>
          <w:lang w:val="en"/>
        </w:rPr>
      </w:pPr>
      <w:r>
        <w:rPr>
          <w:rFonts w:eastAsia="Arial"/>
          <w:lang w:val="es-ES_tradnl"/>
        </w:rPr>
        <w:t>Tribus indias.</w:t>
      </w:r>
    </w:p>
    <w:p>
      <w:pPr>
        <w:pStyle w:val="BodyText"/>
        <w:numPr>
          <w:ilvl w:val="0"/>
          <w:numId w:val="5"/>
        </w:numPr>
        <w:rPr>
          <w:lang w:val="es-AR"/>
        </w:rPr>
      </w:pPr>
      <w:r>
        <w:rPr>
          <w:rFonts w:eastAsia="Arial"/>
          <w:lang w:val="es-ES_tradnl"/>
        </w:rPr>
        <w:t>Empleados de las entidades enumeradas en los párrafos A, B, C y D anteriores que ofrecen o transportan materiales peligrosos como parte de sus deberes oficiales.</w:t>
      </w:r>
    </w:p>
    <w:p>
      <w:pPr>
        <w:pStyle w:val="BodyText"/>
        <w:numPr>
          <w:ilvl w:val="0"/>
          <w:numId w:val="5"/>
        </w:numPr>
        <w:rPr>
          <w:lang w:val="es-AR"/>
        </w:rPr>
      </w:pPr>
      <w:r>
        <w:rPr>
          <w:rFonts w:eastAsia="Arial"/>
          <w:lang w:val="es-ES_tradnl"/>
        </w:rPr>
        <w:t>Los empleados de materiales peligrosos, incluido el propietario-operador de un vehículo de motor que transporta materiales peligrosos en el comercio si ese vehículo, al momento de desarrollar esas actividades, se alquila a un autotransportista registrado en virtud de un contrato de arrendamiento de 30 días o más según lo establecido en 49 CFR Parte 376 o una relación contractual equivalente.</w:t>
      </w:r>
    </w:p>
    <w:p>
      <w:pPr>
        <w:pStyle w:val="BodyText"/>
        <w:numPr>
          <w:ilvl w:val="0"/>
          <w:numId w:val="5"/>
        </w:numPr>
        <w:rPr>
          <w:lang w:val="es-AR"/>
        </w:rPr>
      </w:pPr>
      <w:r>
        <w:rPr>
          <w:rFonts w:eastAsia="Arial"/>
          <w:lang w:val="es-ES_tradnl"/>
        </w:rPr>
        <w:t>Una persona que ofrece materiales peligrosos para el transporte a los Estados Unidos únicamente desde ubicaciones fuera de los Estados Unidos, cuando dicha persona esté domiciliada fuera de los Estados Unidos, en un país que no requiere presentar una declaración de registro o imponer una tarifa a las empresas estadounidenses que únicamente ofrecen materiales peligrosos para el transporte a ese país.</w:t>
      </w:r>
    </w:p>
    <w:p>
      <w:pPr>
        <w:pStyle w:val="BodyText"/>
        <w:numPr>
          <w:ilvl w:val="0"/>
          <w:numId w:val="5"/>
        </w:numPr>
        <w:rPr>
          <w:lang w:val="es-AR"/>
        </w:rPr>
      </w:pPr>
      <w:r>
        <w:rPr>
          <w:rFonts w:eastAsia="Arial"/>
          <w:lang w:val="es-ES_tradnl"/>
        </w:rPr>
        <w:t>Un agricultor según se define en 49 CFR 171.8 que ofrece o transporta materiales peligrosos que se utilizan en apoyo directo de las operaciones agrícolas del agricultor y que no ofrece ni transporta materiales peligrosos para el comercio incluidos en las categorías de la A a la E descritas anteriormente en “Quién debe registrarse”.</w:t>
      </w:r>
    </w:p>
    <w:p>
      <w:pPr>
        <w:pStyle w:val="BodyText"/>
        <w:rPr>
          <w:sz w:val="16"/>
          <w:szCs w:val="16"/>
          <w:lang w:val="es-AR"/>
        </w:rPr>
      </w:pPr>
    </w:p>
    <w:p>
      <w:pPr>
        <w:pStyle w:val="BodyText"/>
        <w:rPr>
          <w:lang w:val="es-AR"/>
        </w:rPr>
      </w:pPr>
      <w:r>
        <w:rPr>
          <w:rFonts w:eastAsia="Arial"/>
          <w:lang w:val="es-ES_tradnl"/>
        </w:rPr>
        <w:t>Un ganadero debe registrarse si:</w:t>
      </w:r>
    </w:p>
    <w:p>
      <w:pPr>
        <w:pStyle w:val="BodyText"/>
        <w:rPr>
          <w:sz w:val="16"/>
          <w:szCs w:val="16"/>
          <w:lang w:val="es-AR"/>
        </w:rPr>
      </w:pPr>
    </w:p>
    <w:p>
      <w:pPr>
        <w:pStyle w:val="BodyText"/>
        <w:numPr>
          <w:ilvl w:val="0"/>
          <w:numId w:val="6"/>
        </w:numPr>
        <w:rPr>
          <w:lang w:val="es-AR"/>
        </w:rPr>
      </w:pPr>
      <w:r>
        <w:rPr>
          <w:rFonts w:eastAsia="Arial"/>
          <w:lang w:val="es-ES_tradnl"/>
        </w:rPr>
        <w:t>Ofrece o transporta materiales peligrosos que requieren letreros que no respaldan directamente su operación agrícola. Por ejemplo, un agricultor que ofrece o transporta combustible para calefacción doméstica con fines comerciales en cantidades que requieren señalización debe registrarse.</w:t>
      </w:r>
    </w:p>
    <w:p>
      <w:pPr>
        <w:pStyle w:val="BodyText"/>
        <w:numPr>
          <w:ilvl w:val="0"/>
          <w:numId w:val="6"/>
        </w:numPr>
        <w:rPr>
          <w:lang w:val="es-AR"/>
        </w:rPr>
      </w:pPr>
      <w:r>
        <w:rPr>
          <w:rFonts w:eastAsia="Arial"/>
          <w:lang w:val="es-ES_tradnl"/>
        </w:rPr>
        <w:t>Ofrece o transporta para cualquier fin cualquiera de los materiales peligrosos incluidos en las categorías A a E de “Quién debe registrarse” arriba mencionados. Por ejemplo, un granjero que transporta 55 libras o más de un explosivo de la División 1.1, incluso si el explosivo se va a utilizar en apoyo directo de sus operaciones agrícolas, debe registrarse.</w:t>
      </w:r>
    </w:p>
    <w:p>
      <w:pPr>
        <w:pStyle w:val="Heading2"/>
      </w:pPr>
    </w:p>
    <w:p>
      <w:pPr>
        <w:pStyle w:val="Heading2"/>
        <w:rPr>
          <w:lang w:val="es-AR"/>
        </w:rPr>
      </w:pPr>
      <w:bookmarkStart w:id="21" w:name="_Toc93568124"/>
      <w:r>
        <w:t>¿Cómo me inscribo? ¿Se debe abonar alguna tarifa?</w:t>
      </w:r>
      <w:bookmarkEnd w:id="21"/>
    </w:p>
    <w:p>
      <w:pPr>
        <w:pStyle w:val="BodyText"/>
        <w:rPr>
          <w:lang w:val="es-AR"/>
        </w:rPr>
      </w:pPr>
    </w:p>
    <w:p>
      <w:pPr>
        <w:pStyle w:val="BodyText"/>
        <w:rPr>
          <w:rFonts w:eastAsia="Arial"/>
          <w:lang w:val="es-ES_tradnl"/>
        </w:rPr>
      </w:pPr>
      <w:r>
        <w:rPr>
          <w:rFonts w:eastAsia="Arial"/>
          <w:lang w:val="es-ES_tradnl"/>
        </w:rPr>
        <w:t xml:space="preserve">Debe presentar una declaración de registro anual ante el Departamento de Transporte de EE. UU. PHMSA y pagar una tarifa de acuerdo con 49 CFR 107.608 y 107.612. Para obtener más información sobre cómo registrarse en PHMSA, consulte </w:t>
      </w:r>
      <w:hyperlink r:id="rId24" w:anchor="How-to-Register" w:history="1">
        <w:r>
          <w:rPr>
            <w:rFonts w:eastAsia="Arial"/>
            <w:color w:val="215E9E"/>
            <w:u w:val="single"/>
            <w:lang w:val="es-ES_tradnl"/>
          </w:rPr>
          <w:t>https://www.phmsa.dot.gov/registration/registration-information#How-to-Register</w:t>
        </w:r>
      </w:hyperlink>
      <w:r>
        <w:rPr>
          <w:rFonts w:eastAsia="Arial"/>
          <w:lang w:val="es-ES_tradnl"/>
        </w:rPr>
        <w:t>.</w:t>
      </w:r>
    </w:p>
    <w:p>
      <w:pPr>
        <w:pStyle w:val="Heading1"/>
        <w:ind w:left="0"/>
        <w:rPr>
          <w:lang w:val="es-AR"/>
        </w:rPr>
      </w:pPr>
      <w:bookmarkStart w:id="22" w:name="_Toc93568125"/>
      <w:r>
        <w:rPr>
          <w:rFonts w:eastAsia="Arial"/>
          <w:color w:val="FFFFFF"/>
          <w:szCs w:val="26"/>
          <w:lang w:val="es-ES_tradnl"/>
        </w:rPr>
        <w:lastRenderedPageBreak/>
        <w:t>¿Tiene alguna pregunta?</w:t>
      </w:r>
      <w:bookmarkEnd w:id="22"/>
    </w:p>
    <w:p>
      <w:pPr>
        <w:spacing w:after="112" w:line="259" w:lineRule="auto"/>
        <w:ind w:right="4"/>
        <w:rPr>
          <w:lang w:val="es-AR"/>
        </w:rPr>
      </w:pPr>
    </w:p>
    <w:p>
      <w:pPr>
        <w:pStyle w:val="BodyText"/>
        <w:rPr>
          <w:lang w:val="es-AR"/>
        </w:rPr>
      </w:pPr>
      <w:r>
        <w:rPr>
          <w:rFonts w:eastAsia="Arial"/>
          <w:lang w:val="es-ES_tradnl"/>
        </w:rPr>
        <w:t xml:space="preserve">Comuníquese con: </w:t>
      </w:r>
    </w:p>
    <w:p>
      <w:pPr>
        <w:pStyle w:val="BodyText"/>
        <w:rPr>
          <w:lang w:val="es-AR"/>
        </w:rPr>
      </w:pPr>
    </w:p>
    <w:p>
      <w:pPr>
        <w:pStyle w:val="BodyText"/>
        <w:rPr>
          <w:lang w:val="es-AR"/>
        </w:rPr>
      </w:pPr>
      <w:r>
        <w:rPr>
          <w:rFonts w:eastAsia="Arial"/>
          <w:lang w:val="es-ES_tradnl"/>
        </w:rPr>
        <w:t xml:space="preserve">La Administración federal de seguridad de autotransportes </w:t>
      </w:r>
    </w:p>
    <w:p>
      <w:pPr>
        <w:pStyle w:val="BodyText"/>
      </w:pPr>
      <w:r>
        <w:rPr>
          <w:rFonts w:eastAsia="Arial"/>
        </w:rPr>
        <w:t>1200 New Jersey Avenue, SE</w:t>
      </w:r>
    </w:p>
    <w:p>
      <w:pPr>
        <w:pStyle w:val="BodyText"/>
      </w:pPr>
      <w:r>
        <w:rPr>
          <w:rFonts w:eastAsia="Arial"/>
        </w:rPr>
        <w:t xml:space="preserve">Washington, DC 20590 </w:t>
      </w:r>
    </w:p>
    <w:p>
      <w:pPr>
        <w:pStyle w:val="BodyText"/>
      </w:pPr>
      <w:r>
        <w:rPr>
          <w:rFonts w:eastAsia="Arial"/>
          <w:lang w:val="es-ES_tradnl"/>
        </w:rPr>
        <w:t>Teléfono: 800-832-5660</w:t>
      </w:r>
    </w:p>
    <w:p>
      <w:pPr>
        <w:pStyle w:val="BodyText"/>
        <w:rPr>
          <w:lang w:val="es-AR"/>
        </w:rPr>
      </w:pPr>
    </w:p>
    <w:sectPr>
      <w:footerReference w:type="even" r:id="rId25"/>
      <w:footerReference w:type="default" r:id="rId2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libri (Body)">
    <w:altName w:val="Calibri"/>
    <w:charset w:val="00"/>
    <w:family w:val="roman"/>
    <w:pitch w:val="default"/>
  </w:font>
  <w:font w:name="SimHei">
    <w:altName w:val="黑体"/>
    <w:panose1 w:val="02010609060101010101"/>
    <w:charset w:val="86"/>
    <w:family w:val="modern"/>
    <w:notTrueType/>
    <w:pitch w:val="fixed"/>
    <w:sig w:usb0="00000001" w:usb1="080E0000" w:usb2="00000010" w:usb3="00000000" w:csb0="00040000" w:csb1="00000000"/>
  </w:font>
  <w:font w:name="MinionPro-Regular">
    <w:altName w:val="Calibri"/>
    <w:panose1 w:val="00000000000000000000"/>
    <w:charset w:val="4D"/>
    <w:family w:val="auto"/>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Headings)">
    <w:altName w:val="Calibri Light"/>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584733424"/>
      <w:docPartObj>
        <w:docPartGallery w:val="Page Numbers (Bottom of Page)"/>
        <w:docPartUnique/>
      </w:docPartObj>
    </w:sdtPr>
    <w:sdtContent>
      <w:p>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b/>
        <w:sz w:val="18"/>
        <w:szCs w:val="18"/>
      </w:rPr>
      <w:id w:val="-1091470920"/>
      <w:docPartObj>
        <w:docPartGallery w:val="Page Numbers (Bottom of Page)"/>
        <w:docPartUnique/>
      </w:docPartObj>
    </w:sdtPr>
    <w:sdtContent>
      <w:p>
        <w:pPr>
          <w:pStyle w:val="Footer"/>
          <w:framePr w:wrap="none" w:vAnchor="text" w:hAnchor="margin" w:xAlign="right" w:y="154"/>
          <w:rPr>
            <w:rStyle w:val="PageNumber"/>
            <w:b/>
            <w:sz w:val="18"/>
            <w:szCs w:val="18"/>
          </w:rPr>
        </w:pPr>
        <w:r>
          <w:rPr>
            <w:rStyle w:val="PageNumber"/>
            <w:b/>
            <w:sz w:val="18"/>
            <w:szCs w:val="18"/>
          </w:rPr>
          <w:fldChar w:fldCharType="begin"/>
        </w:r>
        <w:r>
          <w:rPr>
            <w:rStyle w:val="PageNumber"/>
            <w:b/>
            <w:sz w:val="18"/>
            <w:szCs w:val="18"/>
          </w:rPr>
          <w:instrText xml:space="preserve"> PAGE </w:instrText>
        </w:r>
        <w:r>
          <w:rPr>
            <w:rStyle w:val="PageNumber"/>
            <w:b/>
            <w:sz w:val="18"/>
            <w:szCs w:val="18"/>
          </w:rPr>
          <w:fldChar w:fldCharType="separate"/>
        </w:r>
        <w:r>
          <w:rPr>
            <w:rStyle w:val="PageNumber"/>
            <w:b/>
            <w:noProof/>
            <w:sz w:val="18"/>
            <w:szCs w:val="18"/>
          </w:rPr>
          <w:t>2</w:t>
        </w:r>
        <w:r>
          <w:rPr>
            <w:rStyle w:val="PageNumber"/>
            <w:b/>
            <w:sz w:val="18"/>
            <w:szCs w:val="18"/>
          </w:rPr>
          <w:fldChar w:fldCharType="end"/>
        </w:r>
      </w:p>
    </w:sdtContent>
  </w:sdt>
  <w:p>
    <w:pPr>
      <w:pStyle w:val="Footer"/>
      <w:ind w:right="360"/>
    </w:pPr>
    <w:r>
      <w:rPr>
        <w:noProof/>
        <w:lang w:eastAsia="zh-TW"/>
      </w:rPr>
      <w:drawing>
        <wp:anchor distT="0" distB="0" distL="114300" distR="114300" simplePos="0" relativeHeight="251658240" behindDoc="0" locked="0" layoutInCell="1" allowOverlap="1">
          <wp:simplePos x="0" y="0"/>
          <wp:positionH relativeFrom="column">
            <wp:posOffset>0</wp:posOffset>
          </wp:positionH>
          <wp:positionV relativeFrom="page">
            <wp:posOffset>9244330</wp:posOffset>
          </wp:positionV>
          <wp:extent cx="1508760" cy="420624"/>
          <wp:effectExtent l="0" t="0" r="2540" b="0"/>
          <wp:wrapNone/>
          <wp:docPr id="19" name="Picture 19" descr="Logotipo de FMC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FMCSA logo"/>
                  <pic:cNvPicPr/>
                </pic:nvPicPr>
                <pic:blipFill>
                  <a:blip r:embed="rId1">
                    <a:extLst>
                      <a:ext uri="{28A0092B-C50C-407E-A947-70E740481C1C}">
                        <a14:useLocalDpi xmlns:a14="http://schemas.microsoft.com/office/drawing/2010/main" val="0"/>
                      </a:ext>
                    </a:extLst>
                  </a:blip>
                  <a:stretch>
                    <a:fillRect/>
                  </a:stretch>
                </pic:blipFill>
                <pic:spPr>
                  <a:xfrm>
                    <a:off x="0" y="0"/>
                    <a:ext cx="1508760" cy="42062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2028A5"/>
    <w:multiLevelType w:val="hybridMultilevel"/>
    <w:tmpl w:val="FD4007CA"/>
    <w:lvl w:ilvl="0" w:tplc="7A4C14CC">
      <w:start w:val="1"/>
      <w:numFmt w:val="upperLetter"/>
      <w:lvlText w:val="%1."/>
      <w:lvlJc w:val="left"/>
      <w:pPr>
        <w:ind w:left="720" w:hanging="360"/>
      </w:pPr>
    </w:lvl>
    <w:lvl w:ilvl="1" w:tplc="5880A0AA">
      <w:start w:val="1"/>
      <w:numFmt w:val="lowerLetter"/>
      <w:lvlText w:val="%2."/>
      <w:lvlJc w:val="left"/>
      <w:pPr>
        <w:ind w:left="1440" w:hanging="360"/>
      </w:pPr>
    </w:lvl>
    <w:lvl w:ilvl="2" w:tplc="38604878" w:tentative="1">
      <w:start w:val="1"/>
      <w:numFmt w:val="lowerRoman"/>
      <w:lvlText w:val="%3."/>
      <w:lvlJc w:val="right"/>
      <w:pPr>
        <w:ind w:left="2160" w:hanging="180"/>
      </w:pPr>
    </w:lvl>
    <w:lvl w:ilvl="3" w:tplc="8BE40B0E" w:tentative="1">
      <w:start w:val="1"/>
      <w:numFmt w:val="decimal"/>
      <w:lvlText w:val="%4."/>
      <w:lvlJc w:val="left"/>
      <w:pPr>
        <w:ind w:left="2880" w:hanging="360"/>
      </w:pPr>
    </w:lvl>
    <w:lvl w:ilvl="4" w:tplc="61323976" w:tentative="1">
      <w:start w:val="1"/>
      <w:numFmt w:val="lowerLetter"/>
      <w:lvlText w:val="%5."/>
      <w:lvlJc w:val="left"/>
      <w:pPr>
        <w:ind w:left="3600" w:hanging="360"/>
      </w:pPr>
    </w:lvl>
    <w:lvl w:ilvl="5" w:tplc="C1A423E0" w:tentative="1">
      <w:start w:val="1"/>
      <w:numFmt w:val="lowerRoman"/>
      <w:lvlText w:val="%6."/>
      <w:lvlJc w:val="right"/>
      <w:pPr>
        <w:ind w:left="4320" w:hanging="180"/>
      </w:pPr>
    </w:lvl>
    <w:lvl w:ilvl="6" w:tplc="9230CD72" w:tentative="1">
      <w:start w:val="1"/>
      <w:numFmt w:val="decimal"/>
      <w:lvlText w:val="%7."/>
      <w:lvlJc w:val="left"/>
      <w:pPr>
        <w:ind w:left="5040" w:hanging="360"/>
      </w:pPr>
    </w:lvl>
    <w:lvl w:ilvl="7" w:tplc="233287F6" w:tentative="1">
      <w:start w:val="1"/>
      <w:numFmt w:val="lowerLetter"/>
      <w:lvlText w:val="%8."/>
      <w:lvlJc w:val="left"/>
      <w:pPr>
        <w:ind w:left="5760" w:hanging="360"/>
      </w:pPr>
    </w:lvl>
    <w:lvl w:ilvl="8" w:tplc="58647588" w:tentative="1">
      <w:start w:val="1"/>
      <w:numFmt w:val="lowerRoman"/>
      <w:lvlText w:val="%9."/>
      <w:lvlJc w:val="right"/>
      <w:pPr>
        <w:ind w:left="6480" w:hanging="180"/>
      </w:pPr>
    </w:lvl>
  </w:abstractNum>
  <w:abstractNum w:abstractNumId="1" w15:restartNumberingAfterBreak="0">
    <w:nsid w:val="16486A95"/>
    <w:multiLevelType w:val="hybridMultilevel"/>
    <w:tmpl w:val="2C54206E"/>
    <w:lvl w:ilvl="0" w:tplc="23E2EB26">
      <w:start w:val="1"/>
      <w:numFmt w:val="bullet"/>
      <w:lvlText w:val=""/>
      <w:lvlJc w:val="left"/>
      <w:pPr>
        <w:ind w:left="720" w:hanging="360"/>
      </w:pPr>
      <w:rPr>
        <w:rFonts w:ascii="Symbol" w:hAnsi="Symbol" w:hint="default"/>
      </w:rPr>
    </w:lvl>
    <w:lvl w:ilvl="1" w:tplc="D6CCE87C" w:tentative="1">
      <w:start w:val="1"/>
      <w:numFmt w:val="bullet"/>
      <w:lvlText w:val="o"/>
      <w:lvlJc w:val="left"/>
      <w:pPr>
        <w:ind w:left="1440" w:hanging="360"/>
      </w:pPr>
      <w:rPr>
        <w:rFonts w:ascii="Courier New" w:hAnsi="Courier New" w:cs="Courier New" w:hint="default"/>
      </w:rPr>
    </w:lvl>
    <w:lvl w:ilvl="2" w:tplc="6B0E9506" w:tentative="1">
      <w:start w:val="1"/>
      <w:numFmt w:val="bullet"/>
      <w:lvlText w:val=""/>
      <w:lvlJc w:val="left"/>
      <w:pPr>
        <w:ind w:left="2160" w:hanging="360"/>
      </w:pPr>
      <w:rPr>
        <w:rFonts w:ascii="Wingdings" w:hAnsi="Wingdings" w:hint="default"/>
      </w:rPr>
    </w:lvl>
    <w:lvl w:ilvl="3" w:tplc="825C758E" w:tentative="1">
      <w:start w:val="1"/>
      <w:numFmt w:val="bullet"/>
      <w:lvlText w:val=""/>
      <w:lvlJc w:val="left"/>
      <w:pPr>
        <w:ind w:left="2880" w:hanging="360"/>
      </w:pPr>
      <w:rPr>
        <w:rFonts w:ascii="Symbol" w:hAnsi="Symbol" w:hint="default"/>
      </w:rPr>
    </w:lvl>
    <w:lvl w:ilvl="4" w:tplc="2F8A2E26" w:tentative="1">
      <w:start w:val="1"/>
      <w:numFmt w:val="bullet"/>
      <w:lvlText w:val="o"/>
      <w:lvlJc w:val="left"/>
      <w:pPr>
        <w:ind w:left="3600" w:hanging="360"/>
      </w:pPr>
      <w:rPr>
        <w:rFonts w:ascii="Courier New" w:hAnsi="Courier New" w:cs="Courier New" w:hint="default"/>
      </w:rPr>
    </w:lvl>
    <w:lvl w:ilvl="5" w:tplc="F294A8EC" w:tentative="1">
      <w:start w:val="1"/>
      <w:numFmt w:val="bullet"/>
      <w:lvlText w:val=""/>
      <w:lvlJc w:val="left"/>
      <w:pPr>
        <w:ind w:left="4320" w:hanging="360"/>
      </w:pPr>
      <w:rPr>
        <w:rFonts w:ascii="Wingdings" w:hAnsi="Wingdings" w:hint="default"/>
      </w:rPr>
    </w:lvl>
    <w:lvl w:ilvl="6" w:tplc="03947F02" w:tentative="1">
      <w:start w:val="1"/>
      <w:numFmt w:val="bullet"/>
      <w:lvlText w:val=""/>
      <w:lvlJc w:val="left"/>
      <w:pPr>
        <w:ind w:left="5040" w:hanging="360"/>
      </w:pPr>
      <w:rPr>
        <w:rFonts w:ascii="Symbol" w:hAnsi="Symbol" w:hint="default"/>
      </w:rPr>
    </w:lvl>
    <w:lvl w:ilvl="7" w:tplc="E17E6430" w:tentative="1">
      <w:start w:val="1"/>
      <w:numFmt w:val="bullet"/>
      <w:lvlText w:val="o"/>
      <w:lvlJc w:val="left"/>
      <w:pPr>
        <w:ind w:left="5760" w:hanging="360"/>
      </w:pPr>
      <w:rPr>
        <w:rFonts w:ascii="Courier New" w:hAnsi="Courier New" w:cs="Courier New" w:hint="default"/>
      </w:rPr>
    </w:lvl>
    <w:lvl w:ilvl="8" w:tplc="E5EC4B36" w:tentative="1">
      <w:start w:val="1"/>
      <w:numFmt w:val="bullet"/>
      <w:lvlText w:val=""/>
      <w:lvlJc w:val="left"/>
      <w:pPr>
        <w:ind w:left="6480" w:hanging="360"/>
      </w:pPr>
      <w:rPr>
        <w:rFonts w:ascii="Wingdings" w:hAnsi="Wingdings" w:hint="default"/>
      </w:rPr>
    </w:lvl>
  </w:abstractNum>
  <w:abstractNum w:abstractNumId="2" w15:restartNumberingAfterBreak="0">
    <w:nsid w:val="1A7D6BFE"/>
    <w:multiLevelType w:val="hybridMultilevel"/>
    <w:tmpl w:val="9BCEC734"/>
    <w:lvl w:ilvl="0" w:tplc="7AB28B9E">
      <w:start w:val="1"/>
      <w:numFmt w:val="bullet"/>
      <w:lvlText w:val=""/>
      <w:lvlJc w:val="left"/>
      <w:pPr>
        <w:ind w:left="720" w:hanging="360"/>
      </w:pPr>
      <w:rPr>
        <w:rFonts w:ascii="Symbol" w:hAnsi="Symbol" w:hint="default"/>
      </w:rPr>
    </w:lvl>
    <w:lvl w:ilvl="1" w:tplc="D5F49ADE">
      <w:start w:val="1"/>
      <w:numFmt w:val="bullet"/>
      <w:lvlText w:val="o"/>
      <w:lvlJc w:val="left"/>
      <w:pPr>
        <w:ind w:left="1440" w:hanging="360"/>
      </w:pPr>
      <w:rPr>
        <w:rFonts w:ascii="Courier New" w:hAnsi="Courier New" w:cs="Courier New" w:hint="default"/>
      </w:rPr>
    </w:lvl>
    <w:lvl w:ilvl="2" w:tplc="A7609C66" w:tentative="1">
      <w:start w:val="1"/>
      <w:numFmt w:val="bullet"/>
      <w:lvlText w:val=""/>
      <w:lvlJc w:val="left"/>
      <w:pPr>
        <w:ind w:left="2160" w:hanging="360"/>
      </w:pPr>
      <w:rPr>
        <w:rFonts w:ascii="Wingdings" w:hAnsi="Wingdings" w:hint="default"/>
      </w:rPr>
    </w:lvl>
    <w:lvl w:ilvl="3" w:tplc="6510A2D8" w:tentative="1">
      <w:start w:val="1"/>
      <w:numFmt w:val="bullet"/>
      <w:lvlText w:val=""/>
      <w:lvlJc w:val="left"/>
      <w:pPr>
        <w:ind w:left="2880" w:hanging="360"/>
      </w:pPr>
      <w:rPr>
        <w:rFonts w:ascii="Symbol" w:hAnsi="Symbol" w:hint="default"/>
      </w:rPr>
    </w:lvl>
    <w:lvl w:ilvl="4" w:tplc="D652ABB2" w:tentative="1">
      <w:start w:val="1"/>
      <w:numFmt w:val="bullet"/>
      <w:lvlText w:val="o"/>
      <w:lvlJc w:val="left"/>
      <w:pPr>
        <w:ind w:left="3600" w:hanging="360"/>
      </w:pPr>
      <w:rPr>
        <w:rFonts w:ascii="Courier New" w:hAnsi="Courier New" w:cs="Courier New" w:hint="default"/>
      </w:rPr>
    </w:lvl>
    <w:lvl w:ilvl="5" w:tplc="6F12A838" w:tentative="1">
      <w:start w:val="1"/>
      <w:numFmt w:val="bullet"/>
      <w:lvlText w:val=""/>
      <w:lvlJc w:val="left"/>
      <w:pPr>
        <w:ind w:left="4320" w:hanging="360"/>
      </w:pPr>
      <w:rPr>
        <w:rFonts w:ascii="Wingdings" w:hAnsi="Wingdings" w:hint="default"/>
      </w:rPr>
    </w:lvl>
    <w:lvl w:ilvl="6" w:tplc="DD80FC56" w:tentative="1">
      <w:start w:val="1"/>
      <w:numFmt w:val="bullet"/>
      <w:lvlText w:val=""/>
      <w:lvlJc w:val="left"/>
      <w:pPr>
        <w:ind w:left="5040" w:hanging="360"/>
      </w:pPr>
      <w:rPr>
        <w:rFonts w:ascii="Symbol" w:hAnsi="Symbol" w:hint="default"/>
      </w:rPr>
    </w:lvl>
    <w:lvl w:ilvl="7" w:tplc="2EE67BA4" w:tentative="1">
      <w:start w:val="1"/>
      <w:numFmt w:val="bullet"/>
      <w:lvlText w:val="o"/>
      <w:lvlJc w:val="left"/>
      <w:pPr>
        <w:ind w:left="5760" w:hanging="360"/>
      </w:pPr>
      <w:rPr>
        <w:rFonts w:ascii="Courier New" w:hAnsi="Courier New" w:cs="Courier New" w:hint="default"/>
      </w:rPr>
    </w:lvl>
    <w:lvl w:ilvl="8" w:tplc="C366AC90" w:tentative="1">
      <w:start w:val="1"/>
      <w:numFmt w:val="bullet"/>
      <w:lvlText w:val=""/>
      <w:lvlJc w:val="left"/>
      <w:pPr>
        <w:ind w:left="6480" w:hanging="360"/>
      </w:pPr>
      <w:rPr>
        <w:rFonts w:ascii="Wingdings" w:hAnsi="Wingdings" w:hint="default"/>
      </w:rPr>
    </w:lvl>
  </w:abstractNum>
  <w:abstractNum w:abstractNumId="3" w15:restartNumberingAfterBreak="0">
    <w:nsid w:val="27F3555C"/>
    <w:multiLevelType w:val="hybridMultilevel"/>
    <w:tmpl w:val="CED44FB4"/>
    <w:lvl w:ilvl="0" w:tplc="0DA0FD1C">
      <w:start w:val="1"/>
      <w:numFmt w:val="decimal"/>
      <w:lvlText w:val="%1."/>
      <w:lvlJc w:val="left"/>
      <w:pPr>
        <w:ind w:left="720" w:hanging="360"/>
      </w:pPr>
    </w:lvl>
    <w:lvl w:ilvl="1" w:tplc="DB9EC650" w:tentative="1">
      <w:start w:val="1"/>
      <w:numFmt w:val="lowerLetter"/>
      <w:lvlText w:val="%2."/>
      <w:lvlJc w:val="left"/>
      <w:pPr>
        <w:ind w:left="1440" w:hanging="360"/>
      </w:pPr>
    </w:lvl>
    <w:lvl w:ilvl="2" w:tplc="A1D62408" w:tentative="1">
      <w:start w:val="1"/>
      <w:numFmt w:val="lowerRoman"/>
      <w:lvlText w:val="%3."/>
      <w:lvlJc w:val="right"/>
      <w:pPr>
        <w:ind w:left="2160" w:hanging="180"/>
      </w:pPr>
    </w:lvl>
    <w:lvl w:ilvl="3" w:tplc="BC94EBC4" w:tentative="1">
      <w:start w:val="1"/>
      <w:numFmt w:val="decimal"/>
      <w:lvlText w:val="%4."/>
      <w:lvlJc w:val="left"/>
      <w:pPr>
        <w:ind w:left="2880" w:hanging="360"/>
      </w:pPr>
    </w:lvl>
    <w:lvl w:ilvl="4" w:tplc="480AFC44" w:tentative="1">
      <w:start w:val="1"/>
      <w:numFmt w:val="lowerLetter"/>
      <w:lvlText w:val="%5."/>
      <w:lvlJc w:val="left"/>
      <w:pPr>
        <w:ind w:left="3600" w:hanging="360"/>
      </w:pPr>
    </w:lvl>
    <w:lvl w:ilvl="5" w:tplc="75DE4688" w:tentative="1">
      <w:start w:val="1"/>
      <w:numFmt w:val="lowerRoman"/>
      <w:lvlText w:val="%6."/>
      <w:lvlJc w:val="right"/>
      <w:pPr>
        <w:ind w:left="4320" w:hanging="180"/>
      </w:pPr>
    </w:lvl>
    <w:lvl w:ilvl="6" w:tplc="3FB6B1CA" w:tentative="1">
      <w:start w:val="1"/>
      <w:numFmt w:val="decimal"/>
      <w:lvlText w:val="%7."/>
      <w:lvlJc w:val="left"/>
      <w:pPr>
        <w:ind w:left="5040" w:hanging="360"/>
      </w:pPr>
    </w:lvl>
    <w:lvl w:ilvl="7" w:tplc="FF5AA8F4" w:tentative="1">
      <w:start w:val="1"/>
      <w:numFmt w:val="lowerLetter"/>
      <w:lvlText w:val="%8."/>
      <w:lvlJc w:val="left"/>
      <w:pPr>
        <w:ind w:left="5760" w:hanging="360"/>
      </w:pPr>
    </w:lvl>
    <w:lvl w:ilvl="8" w:tplc="3E2229DA" w:tentative="1">
      <w:start w:val="1"/>
      <w:numFmt w:val="lowerRoman"/>
      <w:lvlText w:val="%9."/>
      <w:lvlJc w:val="right"/>
      <w:pPr>
        <w:ind w:left="6480" w:hanging="180"/>
      </w:pPr>
    </w:lvl>
  </w:abstractNum>
  <w:abstractNum w:abstractNumId="4" w15:restartNumberingAfterBreak="0">
    <w:nsid w:val="29A26F42"/>
    <w:multiLevelType w:val="multilevel"/>
    <w:tmpl w:val="23FA888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 w15:restartNumberingAfterBreak="0">
    <w:nsid w:val="3ADF4E28"/>
    <w:multiLevelType w:val="hybridMultilevel"/>
    <w:tmpl w:val="E41EDA54"/>
    <w:lvl w:ilvl="0" w:tplc="2E26EC58">
      <w:start w:val="1"/>
      <w:numFmt w:val="decimal"/>
      <w:lvlText w:val="%1)"/>
      <w:lvlJc w:val="left"/>
      <w:pPr>
        <w:ind w:left="720" w:hanging="360"/>
      </w:pPr>
      <w:rPr>
        <w:rFonts w:hint="default"/>
      </w:rPr>
    </w:lvl>
    <w:lvl w:ilvl="1" w:tplc="9F4A43FE" w:tentative="1">
      <w:start w:val="1"/>
      <w:numFmt w:val="lowerLetter"/>
      <w:lvlText w:val="%2."/>
      <w:lvlJc w:val="left"/>
      <w:pPr>
        <w:ind w:left="1440" w:hanging="360"/>
      </w:pPr>
    </w:lvl>
    <w:lvl w:ilvl="2" w:tplc="F8AEB650" w:tentative="1">
      <w:start w:val="1"/>
      <w:numFmt w:val="lowerRoman"/>
      <w:lvlText w:val="%3."/>
      <w:lvlJc w:val="right"/>
      <w:pPr>
        <w:ind w:left="2160" w:hanging="180"/>
      </w:pPr>
    </w:lvl>
    <w:lvl w:ilvl="3" w:tplc="A6F6B628" w:tentative="1">
      <w:start w:val="1"/>
      <w:numFmt w:val="decimal"/>
      <w:lvlText w:val="%4."/>
      <w:lvlJc w:val="left"/>
      <w:pPr>
        <w:ind w:left="2880" w:hanging="360"/>
      </w:pPr>
    </w:lvl>
    <w:lvl w:ilvl="4" w:tplc="CB9E13CE" w:tentative="1">
      <w:start w:val="1"/>
      <w:numFmt w:val="lowerLetter"/>
      <w:lvlText w:val="%5."/>
      <w:lvlJc w:val="left"/>
      <w:pPr>
        <w:ind w:left="3600" w:hanging="360"/>
      </w:pPr>
    </w:lvl>
    <w:lvl w:ilvl="5" w:tplc="395A7AAE" w:tentative="1">
      <w:start w:val="1"/>
      <w:numFmt w:val="lowerRoman"/>
      <w:lvlText w:val="%6."/>
      <w:lvlJc w:val="right"/>
      <w:pPr>
        <w:ind w:left="4320" w:hanging="180"/>
      </w:pPr>
    </w:lvl>
    <w:lvl w:ilvl="6" w:tplc="05DC1AAA" w:tentative="1">
      <w:start w:val="1"/>
      <w:numFmt w:val="decimal"/>
      <w:lvlText w:val="%7."/>
      <w:lvlJc w:val="left"/>
      <w:pPr>
        <w:ind w:left="5040" w:hanging="360"/>
      </w:pPr>
    </w:lvl>
    <w:lvl w:ilvl="7" w:tplc="645CAD50" w:tentative="1">
      <w:start w:val="1"/>
      <w:numFmt w:val="lowerLetter"/>
      <w:lvlText w:val="%8."/>
      <w:lvlJc w:val="left"/>
      <w:pPr>
        <w:ind w:left="5760" w:hanging="360"/>
      </w:pPr>
    </w:lvl>
    <w:lvl w:ilvl="8" w:tplc="4684BEA6" w:tentative="1">
      <w:start w:val="1"/>
      <w:numFmt w:val="lowerRoman"/>
      <w:lvlText w:val="%9."/>
      <w:lvlJc w:val="right"/>
      <w:pPr>
        <w:ind w:left="6480" w:hanging="180"/>
      </w:pPr>
    </w:lvl>
  </w:abstractNum>
  <w:abstractNum w:abstractNumId="6" w15:restartNumberingAfterBreak="0">
    <w:nsid w:val="4733287B"/>
    <w:multiLevelType w:val="hybridMultilevel"/>
    <w:tmpl w:val="3D66F794"/>
    <w:lvl w:ilvl="0" w:tplc="62E2D8DE">
      <w:start w:val="1"/>
      <w:numFmt w:val="bullet"/>
      <w:lvlText w:val=""/>
      <w:lvlJc w:val="left"/>
      <w:pPr>
        <w:ind w:left="720" w:hanging="360"/>
      </w:pPr>
      <w:rPr>
        <w:rFonts w:ascii="Symbol" w:hAnsi="Symbol" w:hint="default"/>
      </w:rPr>
    </w:lvl>
    <w:lvl w:ilvl="1" w:tplc="49FE0DB8" w:tentative="1">
      <w:start w:val="1"/>
      <w:numFmt w:val="bullet"/>
      <w:lvlText w:val="o"/>
      <w:lvlJc w:val="left"/>
      <w:pPr>
        <w:ind w:left="1440" w:hanging="360"/>
      </w:pPr>
      <w:rPr>
        <w:rFonts w:ascii="Courier New" w:hAnsi="Courier New" w:cs="Courier New" w:hint="default"/>
      </w:rPr>
    </w:lvl>
    <w:lvl w:ilvl="2" w:tplc="C95C6C66" w:tentative="1">
      <w:start w:val="1"/>
      <w:numFmt w:val="bullet"/>
      <w:lvlText w:val=""/>
      <w:lvlJc w:val="left"/>
      <w:pPr>
        <w:ind w:left="2160" w:hanging="360"/>
      </w:pPr>
      <w:rPr>
        <w:rFonts w:ascii="Wingdings" w:hAnsi="Wingdings" w:hint="default"/>
      </w:rPr>
    </w:lvl>
    <w:lvl w:ilvl="3" w:tplc="0DDAA73E" w:tentative="1">
      <w:start w:val="1"/>
      <w:numFmt w:val="bullet"/>
      <w:lvlText w:val=""/>
      <w:lvlJc w:val="left"/>
      <w:pPr>
        <w:ind w:left="2880" w:hanging="360"/>
      </w:pPr>
      <w:rPr>
        <w:rFonts w:ascii="Symbol" w:hAnsi="Symbol" w:hint="default"/>
      </w:rPr>
    </w:lvl>
    <w:lvl w:ilvl="4" w:tplc="A178FA74" w:tentative="1">
      <w:start w:val="1"/>
      <w:numFmt w:val="bullet"/>
      <w:lvlText w:val="o"/>
      <w:lvlJc w:val="left"/>
      <w:pPr>
        <w:ind w:left="3600" w:hanging="360"/>
      </w:pPr>
      <w:rPr>
        <w:rFonts w:ascii="Courier New" w:hAnsi="Courier New" w:cs="Courier New" w:hint="default"/>
      </w:rPr>
    </w:lvl>
    <w:lvl w:ilvl="5" w:tplc="E6889F80" w:tentative="1">
      <w:start w:val="1"/>
      <w:numFmt w:val="bullet"/>
      <w:lvlText w:val=""/>
      <w:lvlJc w:val="left"/>
      <w:pPr>
        <w:ind w:left="4320" w:hanging="360"/>
      </w:pPr>
      <w:rPr>
        <w:rFonts w:ascii="Wingdings" w:hAnsi="Wingdings" w:hint="default"/>
      </w:rPr>
    </w:lvl>
    <w:lvl w:ilvl="6" w:tplc="91C6F35C" w:tentative="1">
      <w:start w:val="1"/>
      <w:numFmt w:val="bullet"/>
      <w:lvlText w:val=""/>
      <w:lvlJc w:val="left"/>
      <w:pPr>
        <w:ind w:left="5040" w:hanging="360"/>
      </w:pPr>
      <w:rPr>
        <w:rFonts w:ascii="Symbol" w:hAnsi="Symbol" w:hint="default"/>
      </w:rPr>
    </w:lvl>
    <w:lvl w:ilvl="7" w:tplc="99560608" w:tentative="1">
      <w:start w:val="1"/>
      <w:numFmt w:val="bullet"/>
      <w:lvlText w:val="o"/>
      <w:lvlJc w:val="left"/>
      <w:pPr>
        <w:ind w:left="5760" w:hanging="360"/>
      </w:pPr>
      <w:rPr>
        <w:rFonts w:ascii="Courier New" w:hAnsi="Courier New" w:cs="Courier New" w:hint="default"/>
      </w:rPr>
    </w:lvl>
    <w:lvl w:ilvl="8" w:tplc="D7744086" w:tentative="1">
      <w:start w:val="1"/>
      <w:numFmt w:val="bullet"/>
      <w:lvlText w:val=""/>
      <w:lvlJc w:val="left"/>
      <w:pPr>
        <w:ind w:left="6480" w:hanging="360"/>
      </w:pPr>
      <w:rPr>
        <w:rFonts w:ascii="Wingdings" w:hAnsi="Wingdings" w:hint="default"/>
      </w:rPr>
    </w:lvl>
  </w:abstractNum>
  <w:abstractNum w:abstractNumId="7" w15:restartNumberingAfterBreak="0">
    <w:nsid w:val="58D951D5"/>
    <w:multiLevelType w:val="hybridMultilevel"/>
    <w:tmpl w:val="53B01ECA"/>
    <w:lvl w:ilvl="0" w:tplc="41561500">
      <w:start w:val="1"/>
      <w:numFmt w:val="upperLetter"/>
      <w:lvlText w:val="%1."/>
      <w:lvlJc w:val="left"/>
      <w:pPr>
        <w:ind w:left="720" w:hanging="360"/>
      </w:pPr>
    </w:lvl>
    <w:lvl w:ilvl="1" w:tplc="18C22EBA" w:tentative="1">
      <w:start w:val="1"/>
      <w:numFmt w:val="lowerLetter"/>
      <w:lvlText w:val="%2."/>
      <w:lvlJc w:val="left"/>
      <w:pPr>
        <w:ind w:left="1440" w:hanging="360"/>
      </w:pPr>
    </w:lvl>
    <w:lvl w:ilvl="2" w:tplc="1CFEA864" w:tentative="1">
      <w:start w:val="1"/>
      <w:numFmt w:val="lowerRoman"/>
      <w:lvlText w:val="%3."/>
      <w:lvlJc w:val="right"/>
      <w:pPr>
        <w:ind w:left="2160" w:hanging="180"/>
      </w:pPr>
    </w:lvl>
    <w:lvl w:ilvl="3" w:tplc="8818A6C0" w:tentative="1">
      <w:start w:val="1"/>
      <w:numFmt w:val="decimal"/>
      <w:lvlText w:val="%4."/>
      <w:lvlJc w:val="left"/>
      <w:pPr>
        <w:ind w:left="2880" w:hanging="360"/>
      </w:pPr>
    </w:lvl>
    <w:lvl w:ilvl="4" w:tplc="A7DC28AA" w:tentative="1">
      <w:start w:val="1"/>
      <w:numFmt w:val="lowerLetter"/>
      <w:lvlText w:val="%5."/>
      <w:lvlJc w:val="left"/>
      <w:pPr>
        <w:ind w:left="3600" w:hanging="360"/>
      </w:pPr>
    </w:lvl>
    <w:lvl w:ilvl="5" w:tplc="7E68D370" w:tentative="1">
      <w:start w:val="1"/>
      <w:numFmt w:val="lowerRoman"/>
      <w:lvlText w:val="%6."/>
      <w:lvlJc w:val="right"/>
      <w:pPr>
        <w:ind w:left="4320" w:hanging="180"/>
      </w:pPr>
    </w:lvl>
    <w:lvl w:ilvl="6" w:tplc="FE0A55F0" w:tentative="1">
      <w:start w:val="1"/>
      <w:numFmt w:val="decimal"/>
      <w:lvlText w:val="%7."/>
      <w:lvlJc w:val="left"/>
      <w:pPr>
        <w:ind w:left="5040" w:hanging="360"/>
      </w:pPr>
    </w:lvl>
    <w:lvl w:ilvl="7" w:tplc="6D749192" w:tentative="1">
      <w:start w:val="1"/>
      <w:numFmt w:val="lowerLetter"/>
      <w:lvlText w:val="%8."/>
      <w:lvlJc w:val="left"/>
      <w:pPr>
        <w:ind w:left="5760" w:hanging="360"/>
      </w:pPr>
    </w:lvl>
    <w:lvl w:ilvl="8" w:tplc="184A4416" w:tentative="1">
      <w:start w:val="1"/>
      <w:numFmt w:val="lowerRoman"/>
      <w:lvlText w:val="%9."/>
      <w:lvlJc w:val="right"/>
      <w:pPr>
        <w:ind w:left="6480" w:hanging="180"/>
      </w:pPr>
    </w:lvl>
  </w:abstractNum>
  <w:abstractNum w:abstractNumId="8" w15:restartNumberingAfterBreak="0">
    <w:nsid w:val="5F690B0F"/>
    <w:multiLevelType w:val="hybridMultilevel"/>
    <w:tmpl w:val="C658D3F4"/>
    <w:lvl w:ilvl="0" w:tplc="0AF83ED6">
      <w:start w:val="1"/>
      <w:numFmt w:val="bullet"/>
      <w:lvlText w:val=""/>
      <w:lvlJc w:val="left"/>
      <w:pPr>
        <w:ind w:left="720" w:hanging="360"/>
      </w:pPr>
      <w:rPr>
        <w:rFonts w:ascii="Symbol" w:hAnsi="Symbol" w:hint="default"/>
      </w:rPr>
    </w:lvl>
    <w:lvl w:ilvl="1" w:tplc="0FF22C52" w:tentative="1">
      <w:start w:val="1"/>
      <w:numFmt w:val="bullet"/>
      <w:lvlText w:val="o"/>
      <w:lvlJc w:val="left"/>
      <w:pPr>
        <w:ind w:left="1440" w:hanging="360"/>
      </w:pPr>
      <w:rPr>
        <w:rFonts w:ascii="Courier New" w:hAnsi="Courier New" w:cs="Courier New" w:hint="default"/>
      </w:rPr>
    </w:lvl>
    <w:lvl w:ilvl="2" w:tplc="A57E80B2" w:tentative="1">
      <w:start w:val="1"/>
      <w:numFmt w:val="bullet"/>
      <w:lvlText w:val=""/>
      <w:lvlJc w:val="left"/>
      <w:pPr>
        <w:ind w:left="2160" w:hanging="360"/>
      </w:pPr>
      <w:rPr>
        <w:rFonts w:ascii="Wingdings" w:hAnsi="Wingdings" w:hint="default"/>
      </w:rPr>
    </w:lvl>
    <w:lvl w:ilvl="3" w:tplc="9BB620E2" w:tentative="1">
      <w:start w:val="1"/>
      <w:numFmt w:val="bullet"/>
      <w:lvlText w:val=""/>
      <w:lvlJc w:val="left"/>
      <w:pPr>
        <w:ind w:left="2880" w:hanging="360"/>
      </w:pPr>
      <w:rPr>
        <w:rFonts w:ascii="Symbol" w:hAnsi="Symbol" w:hint="default"/>
      </w:rPr>
    </w:lvl>
    <w:lvl w:ilvl="4" w:tplc="D3563352" w:tentative="1">
      <w:start w:val="1"/>
      <w:numFmt w:val="bullet"/>
      <w:lvlText w:val="o"/>
      <w:lvlJc w:val="left"/>
      <w:pPr>
        <w:ind w:left="3600" w:hanging="360"/>
      </w:pPr>
      <w:rPr>
        <w:rFonts w:ascii="Courier New" w:hAnsi="Courier New" w:cs="Courier New" w:hint="default"/>
      </w:rPr>
    </w:lvl>
    <w:lvl w:ilvl="5" w:tplc="61CC4F9A" w:tentative="1">
      <w:start w:val="1"/>
      <w:numFmt w:val="bullet"/>
      <w:lvlText w:val=""/>
      <w:lvlJc w:val="left"/>
      <w:pPr>
        <w:ind w:left="4320" w:hanging="360"/>
      </w:pPr>
      <w:rPr>
        <w:rFonts w:ascii="Wingdings" w:hAnsi="Wingdings" w:hint="default"/>
      </w:rPr>
    </w:lvl>
    <w:lvl w:ilvl="6" w:tplc="5D8A04AC" w:tentative="1">
      <w:start w:val="1"/>
      <w:numFmt w:val="bullet"/>
      <w:lvlText w:val=""/>
      <w:lvlJc w:val="left"/>
      <w:pPr>
        <w:ind w:left="5040" w:hanging="360"/>
      </w:pPr>
      <w:rPr>
        <w:rFonts w:ascii="Symbol" w:hAnsi="Symbol" w:hint="default"/>
      </w:rPr>
    </w:lvl>
    <w:lvl w:ilvl="7" w:tplc="A0BCFA76" w:tentative="1">
      <w:start w:val="1"/>
      <w:numFmt w:val="bullet"/>
      <w:lvlText w:val="o"/>
      <w:lvlJc w:val="left"/>
      <w:pPr>
        <w:ind w:left="5760" w:hanging="360"/>
      </w:pPr>
      <w:rPr>
        <w:rFonts w:ascii="Courier New" w:hAnsi="Courier New" w:cs="Courier New" w:hint="default"/>
      </w:rPr>
    </w:lvl>
    <w:lvl w:ilvl="8" w:tplc="0B9255B2" w:tentative="1">
      <w:start w:val="1"/>
      <w:numFmt w:val="bullet"/>
      <w:lvlText w:val=""/>
      <w:lvlJc w:val="left"/>
      <w:pPr>
        <w:ind w:left="6480" w:hanging="360"/>
      </w:pPr>
      <w:rPr>
        <w:rFonts w:ascii="Wingdings" w:hAnsi="Wingdings" w:hint="default"/>
      </w:rPr>
    </w:lvl>
  </w:abstractNum>
  <w:abstractNum w:abstractNumId="9" w15:restartNumberingAfterBreak="0">
    <w:nsid w:val="5FCC547C"/>
    <w:multiLevelType w:val="hybridMultilevel"/>
    <w:tmpl w:val="E28EF41C"/>
    <w:lvl w:ilvl="0" w:tplc="315E28D6">
      <w:start w:val="1"/>
      <w:numFmt w:val="upperLetter"/>
      <w:lvlText w:val="%1."/>
      <w:lvlJc w:val="left"/>
      <w:pPr>
        <w:ind w:left="720" w:hanging="360"/>
      </w:pPr>
    </w:lvl>
    <w:lvl w:ilvl="1" w:tplc="00E82C22">
      <w:start w:val="1"/>
      <w:numFmt w:val="lowerLetter"/>
      <w:lvlText w:val="%2."/>
      <w:lvlJc w:val="left"/>
      <w:pPr>
        <w:ind w:left="1440" w:hanging="360"/>
      </w:pPr>
    </w:lvl>
    <w:lvl w:ilvl="2" w:tplc="66B0F79C" w:tentative="1">
      <w:start w:val="1"/>
      <w:numFmt w:val="lowerRoman"/>
      <w:lvlText w:val="%3."/>
      <w:lvlJc w:val="right"/>
      <w:pPr>
        <w:ind w:left="2160" w:hanging="180"/>
      </w:pPr>
    </w:lvl>
    <w:lvl w:ilvl="3" w:tplc="E3F60A30" w:tentative="1">
      <w:start w:val="1"/>
      <w:numFmt w:val="decimal"/>
      <w:lvlText w:val="%4."/>
      <w:lvlJc w:val="left"/>
      <w:pPr>
        <w:ind w:left="2880" w:hanging="360"/>
      </w:pPr>
    </w:lvl>
    <w:lvl w:ilvl="4" w:tplc="37CC1002" w:tentative="1">
      <w:start w:val="1"/>
      <w:numFmt w:val="lowerLetter"/>
      <w:lvlText w:val="%5."/>
      <w:lvlJc w:val="left"/>
      <w:pPr>
        <w:ind w:left="3600" w:hanging="360"/>
      </w:pPr>
    </w:lvl>
    <w:lvl w:ilvl="5" w:tplc="8DAA2C64" w:tentative="1">
      <w:start w:val="1"/>
      <w:numFmt w:val="lowerRoman"/>
      <w:lvlText w:val="%6."/>
      <w:lvlJc w:val="right"/>
      <w:pPr>
        <w:ind w:left="4320" w:hanging="180"/>
      </w:pPr>
    </w:lvl>
    <w:lvl w:ilvl="6" w:tplc="7166B0CE" w:tentative="1">
      <w:start w:val="1"/>
      <w:numFmt w:val="decimal"/>
      <w:lvlText w:val="%7."/>
      <w:lvlJc w:val="left"/>
      <w:pPr>
        <w:ind w:left="5040" w:hanging="360"/>
      </w:pPr>
    </w:lvl>
    <w:lvl w:ilvl="7" w:tplc="7C58B7B2" w:tentative="1">
      <w:start w:val="1"/>
      <w:numFmt w:val="lowerLetter"/>
      <w:lvlText w:val="%8."/>
      <w:lvlJc w:val="left"/>
      <w:pPr>
        <w:ind w:left="5760" w:hanging="360"/>
      </w:pPr>
    </w:lvl>
    <w:lvl w:ilvl="8" w:tplc="DEF6070C" w:tentative="1">
      <w:start w:val="1"/>
      <w:numFmt w:val="lowerRoman"/>
      <w:lvlText w:val="%9."/>
      <w:lvlJc w:val="right"/>
      <w:pPr>
        <w:ind w:left="6480" w:hanging="180"/>
      </w:pPr>
    </w:lvl>
  </w:abstractNum>
  <w:abstractNum w:abstractNumId="10" w15:restartNumberingAfterBreak="0">
    <w:nsid w:val="67986E77"/>
    <w:multiLevelType w:val="hybridMultilevel"/>
    <w:tmpl w:val="88720420"/>
    <w:lvl w:ilvl="0" w:tplc="B43E2B56">
      <w:start w:val="1"/>
      <w:numFmt w:val="bullet"/>
      <w:lvlText w:val=""/>
      <w:lvlJc w:val="left"/>
      <w:pPr>
        <w:ind w:left="720" w:hanging="360"/>
      </w:pPr>
      <w:rPr>
        <w:rFonts w:ascii="Symbol" w:hAnsi="Symbol" w:hint="default"/>
      </w:rPr>
    </w:lvl>
    <w:lvl w:ilvl="1" w:tplc="D228EBD6">
      <w:start w:val="1"/>
      <w:numFmt w:val="bullet"/>
      <w:lvlText w:val="o"/>
      <w:lvlJc w:val="left"/>
      <w:pPr>
        <w:ind w:left="1440" w:hanging="360"/>
      </w:pPr>
      <w:rPr>
        <w:rFonts w:ascii="Courier New" w:hAnsi="Courier New" w:cs="Courier New" w:hint="default"/>
      </w:rPr>
    </w:lvl>
    <w:lvl w:ilvl="2" w:tplc="F114172A" w:tentative="1">
      <w:start w:val="1"/>
      <w:numFmt w:val="bullet"/>
      <w:lvlText w:val=""/>
      <w:lvlJc w:val="left"/>
      <w:pPr>
        <w:ind w:left="2160" w:hanging="360"/>
      </w:pPr>
      <w:rPr>
        <w:rFonts w:ascii="Wingdings" w:hAnsi="Wingdings" w:hint="default"/>
      </w:rPr>
    </w:lvl>
    <w:lvl w:ilvl="3" w:tplc="06681D7C" w:tentative="1">
      <w:start w:val="1"/>
      <w:numFmt w:val="bullet"/>
      <w:lvlText w:val=""/>
      <w:lvlJc w:val="left"/>
      <w:pPr>
        <w:ind w:left="2880" w:hanging="360"/>
      </w:pPr>
      <w:rPr>
        <w:rFonts w:ascii="Symbol" w:hAnsi="Symbol" w:hint="default"/>
      </w:rPr>
    </w:lvl>
    <w:lvl w:ilvl="4" w:tplc="8E140A94" w:tentative="1">
      <w:start w:val="1"/>
      <w:numFmt w:val="bullet"/>
      <w:lvlText w:val="o"/>
      <w:lvlJc w:val="left"/>
      <w:pPr>
        <w:ind w:left="3600" w:hanging="360"/>
      </w:pPr>
      <w:rPr>
        <w:rFonts w:ascii="Courier New" w:hAnsi="Courier New" w:cs="Courier New" w:hint="default"/>
      </w:rPr>
    </w:lvl>
    <w:lvl w:ilvl="5" w:tplc="54886D38" w:tentative="1">
      <w:start w:val="1"/>
      <w:numFmt w:val="bullet"/>
      <w:lvlText w:val=""/>
      <w:lvlJc w:val="left"/>
      <w:pPr>
        <w:ind w:left="4320" w:hanging="360"/>
      </w:pPr>
      <w:rPr>
        <w:rFonts w:ascii="Wingdings" w:hAnsi="Wingdings" w:hint="default"/>
      </w:rPr>
    </w:lvl>
    <w:lvl w:ilvl="6" w:tplc="61B23D7C" w:tentative="1">
      <w:start w:val="1"/>
      <w:numFmt w:val="bullet"/>
      <w:lvlText w:val=""/>
      <w:lvlJc w:val="left"/>
      <w:pPr>
        <w:ind w:left="5040" w:hanging="360"/>
      </w:pPr>
      <w:rPr>
        <w:rFonts w:ascii="Symbol" w:hAnsi="Symbol" w:hint="default"/>
      </w:rPr>
    </w:lvl>
    <w:lvl w:ilvl="7" w:tplc="28163116" w:tentative="1">
      <w:start w:val="1"/>
      <w:numFmt w:val="bullet"/>
      <w:lvlText w:val="o"/>
      <w:lvlJc w:val="left"/>
      <w:pPr>
        <w:ind w:left="5760" w:hanging="360"/>
      </w:pPr>
      <w:rPr>
        <w:rFonts w:ascii="Courier New" w:hAnsi="Courier New" w:cs="Courier New" w:hint="default"/>
      </w:rPr>
    </w:lvl>
    <w:lvl w:ilvl="8" w:tplc="8450982A" w:tentative="1">
      <w:start w:val="1"/>
      <w:numFmt w:val="bullet"/>
      <w:lvlText w:val=""/>
      <w:lvlJc w:val="left"/>
      <w:pPr>
        <w:ind w:left="6480" w:hanging="360"/>
      </w:pPr>
      <w:rPr>
        <w:rFonts w:ascii="Wingdings" w:hAnsi="Wingdings" w:hint="default"/>
      </w:rPr>
    </w:lvl>
  </w:abstractNum>
  <w:abstractNum w:abstractNumId="11" w15:restartNumberingAfterBreak="0">
    <w:nsid w:val="793B220B"/>
    <w:multiLevelType w:val="hybridMultilevel"/>
    <w:tmpl w:val="529693A2"/>
    <w:lvl w:ilvl="0" w:tplc="A8BCCC8C">
      <w:start w:val="1"/>
      <w:numFmt w:val="decimal"/>
      <w:lvlText w:val="%1."/>
      <w:lvlJc w:val="left"/>
      <w:pPr>
        <w:ind w:left="720" w:hanging="360"/>
      </w:pPr>
    </w:lvl>
    <w:lvl w:ilvl="1" w:tplc="9D5C5ED4" w:tentative="1">
      <w:start w:val="1"/>
      <w:numFmt w:val="lowerLetter"/>
      <w:lvlText w:val="%2."/>
      <w:lvlJc w:val="left"/>
      <w:pPr>
        <w:ind w:left="1440" w:hanging="360"/>
      </w:pPr>
    </w:lvl>
    <w:lvl w:ilvl="2" w:tplc="73DA161C" w:tentative="1">
      <w:start w:val="1"/>
      <w:numFmt w:val="lowerRoman"/>
      <w:lvlText w:val="%3."/>
      <w:lvlJc w:val="right"/>
      <w:pPr>
        <w:ind w:left="2160" w:hanging="180"/>
      </w:pPr>
    </w:lvl>
    <w:lvl w:ilvl="3" w:tplc="77B27482" w:tentative="1">
      <w:start w:val="1"/>
      <w:numFmt w:val="decimal"/>
      <w:lvlText w:val="%4."/>
      <w:lvlJc w:val="left"/>
      <w:pPr>
        <w:ind w:left="2880" w:hanging="360"/>
      </w:pPr>
    </w:lvl>
    <w:lvl w:ilvl="4" w:tplc="1400B1DE" w:tentative="1">
      <w:start w:val="1"/>
      <w:numFmt w:val="lowerLetter"/>
      <w:lvlText w:val="%5."/>
      <w:lvlJc w:val="left"/>
      <w:pPr>
        <w:ind w:left="3600" w:hanging="360"/>
      </w:pPr>
    </w:lvl>
    <w:lvl w:ilvl="5" w:tplc="2B662EC6" w:tentative="1">
      <w:start w:val="1"/>
      <w:numFmt w:val="lowerRoman"/>
      <w:lvlText w:val="%6."/>
      <w:lvlJc w:val="right"/>
      <w:pPr>
        <w:ind w:left="4320" w:hanging="180"/>
      </w:pPr>
    </w:lvl>
    <w:lvl w:ilvl="6" w:tplc="D4EAD548" w:tentative="1">
      <w:start w:val="1"/>
      <w:numFmt w:val="decimal"/>
      <w:lvlText w:val="%7."/>
      <w:lvlJc w:val="left"/>
      <w:pPr>
        <w:ind w:left="5040" w:hanging="360"/>
      </w:pPr>
    </w:lvl>
    <w:lvl w:ilvl="7" w:tplc="BD2A7E24" w:tentative="1">
      <w:start w:val="1"/>
      <w:numFmt w:val="lowerLetter"/>
      <w:lvlText w:val="%8."/>
      <w:lvlJc w:val="left"/>
      <w:pPr>
        <w:ind w:left="5760" w:hanging="360"/>
      </w:pPr>
    </w:lvl>
    <w:lvl w:ilvl="8" w:tplc="C0A047D4" w:tentative="1">
      <w:start w:val="1"/>
      <w:numFmt w:val="lowerRoman"/>
      <w:lvlText w:val="%9."/>
      <w:lvlJc w:val="right"/>
      <w:pPr>
        <w:ind w:left="6480" w:hanging="180"/>
      </w:pPr>
    </w:lvl>
  </w:abstractNum>
  <w:abstractNum w:abstractNumId="12" w15:restartNumberingAfterBreak="0">
    <w:nsid w:val="7B0374F8"/>
    <w:multiLevelType w:val="hybridMultilevel"/>
    <w:tmpl w:val="2D4AEA54"/>
    <w:lvl w:ilvl="0" w:tplc="1D0E2C94">
      <w:start w:val="1"/>
      <w:numFmt w:val="upperLetter"/>
      <w:lvlText w:val="%1."/>
      <w:lvlJc w:val="left"/>
      <w:pPr>
        <w:ind w:left="720" w:hanging="360"/>
      </w:pPr>
    </w:lvl>
    <w:lvl w:ilvl="1" w:tplc="9DE044D0">
      <w:start w:val="1"/>
      <w:numFmt w:val="lowerLetter"/>
      <w:lvlText w:val="%2."/>
      <w:lvlJc w:val="left"/>
      <w:pPr>
        <w:ind w:left="1440" w:hanging="360"/>
      </w:pPr>
    </w:lvl>
    <w:lvl w:ilvl="2" w:tplc="5A665912" w:tentative="1">
      <w:start w:val="1"/>
      <w:numFmt w:val="lowerRoman"/>
      <w:lvlText w:val="%3."/>
      <w:lvlJc w:val="right"/>
      <w:pPr>
        <w:ind w:left="2160" w:hanging="180"/>
      </w:pPr>
    </w:lvl>
    <w:lvl w:ilvl="3" w:tplc="A0126B7C" w:tentative="1">
      <w:start w:val="1"/>
      <w:numFmt w:val="decimal"/>
      <w:lvlText w:val="%4."/>
      <w:lvlJc w:val="left"/>
      <w:pPr>
        <w:ind w:left="2880" w:hanging="360"/>
      </w:pPr>
    </w:lvl>
    <w:lvl w:ilvl="4" w:tplc="062662A8" w:tentative="1">
      <w:start w:val="1"/>
      <w:numFmt w:val="lowerLetter"/>
      <w:lvlText w:val="%5."/>
      <w:lvlJc w:val="left"/>
      <w:pPr>
        <w:ind w:left="3600" w:hanging="360"/>
      </w:pPr>
    </w:lvl>
    <w:lvl w:ilvl="5" w:tplc="4548292E" w:tentative="1">
      <w:start w:val="1"/>
      <w:numFmt w:val="lowerRoman"/>
      <w:lvlText w:val="%6."/>
      <w:lvlJc w:val="right"/>
      <w:pPr>
        <w:ind w:left="4320" w:hanging="180"/>
      </w:pPr>
    </w:lvl>
    <w:lvl w:ilvl="6" w:tplc="3744746C" w:tentative="1">
      <w:start w:val="1"/>
      <w:numFmt w:val="decimal"/>
      <w:lvlText w:val="%7."/>
      <w:lvlJc w:val="left"/>
      <w:pPr>
        <w:ind w:left="5040" w:hanging="360"/>
      </w:pPr>
    </w:lvl>
    <w:lvl w:ilvl="7" w:tplc="DC2053A6" w:tentative="1">
      <w:start w:val="1"/>
      <w:numFmt w:val="lowerLetter"/>
      <w:lvlText w:val="%8."/>
      <w:lvlJc w:val="left"/>
      <w:pPr>
        <w:ind w:left="5760" w:hanging="360"/>
      </w:pPr>
    </w:lvl>
    <w:lvl w:ilvl="8" w:tplc="72EC6D00" w:tentative="1">
      <w:start w:val="1"/>
      <w:numFmt w:val="lowerRoman"/>
      <w:lvlText w:val="%9."/>
      <w:lvlJc w:val="right"/>
      <w:pPr>
        <w:ind w:left="6480" w:hanging="180"/>
      </w:pPr>
    </w:lvl>
  </w:abstractNum>
  <w:abstractNum w:abstractNumId="13" w15:restartNumberingAfterBreak="0">
    <w:nsid w:val="7CB15334"/>
    <w:multiLevelType w:val="hybridMultilevel"/>
    <w:tmpl w:val="77AA232E"/>
    <w:lvl w:ilvl="0" w:tplc="4314E73E">
      <w:start w:val="1"/>
      <w:numFmt w:val="bullet"/>
      <w:lvlText w:val=""/>
      <w:lvlJc w:val="left"/>
      <w:pPr>
        <w:ind w:left="720" w:hanging="360"/>
      </w:pPr>
      <w:rPr>
        <w:rFonts w:ascii="Symbol" w:hAnsi="Symbol" w:hint="default"/>
      </w:rPr>
    </w:lvl>
    <w:lvl w:ilvl="1" w:tplc="DEBE97EA" w:tentative="1">
      <w:start w:val="1"/>
      <w:numFmt w:val="bullet"/>
      <w:lvlText w:val="o"/>
      <w:lvlJc w:val="left"/>
      <w:pPr>
        <w:ind w:left="1440" w:hanging="360"/>
      </w:pPr>
      <w:rPr>
        <w:rFonts w:ascii="Courier New" w:hAnsi="Courier New" w:cs="Courier New" w:hint="default"/>
      </w:rPr>
    </w:lvl>
    <w:lvl w:ilvl="2" w:tplc="8758C1C2" w:tentative="1">
      <w:start w:val="1"/>
      <w:numFmt w:val="bullet"/>
      <w:lvlText w:val=""/>
      <w:lvlJc w:val="left"/>
      <w:pPr>
        <w:ind w:left="2160" w:hanging="360"/>
      </w:pPr>
      <w:rPr>
        <w:rFonts w:ascii="Wingdings" w:hAnsi="Wingdings" w:hint="default"/>
      </w:rPr>
    </w:lvl>
    <w:lvl w:ilvl="3" w:tplc="B9FEC8CC" w:tentative="1">
      <w:start w:val="1"/>
      <w:numFmt w:val="bullet"/>
      <w:lvlText w:val=""/>
      <w:lvlJc w:val="left"/>
      <w:pPr>
        <w:ind w:left="2880" w:hanging="360"/>
      </w:pPr>
      <w:rPr>
        <w:rFonts w:ascii="Symbol" w:hAnsi="Symbol" w:hint="default"/>
      </w:rPr>
    </w:lvl>
    <w:lvl w:ilvl="4" w:tplc="BC4A055E" w:tentative="1">
      <w:start w:val="1"/>
      <w:numFmt w:val="bullet"/>
      <w:lvlText w:val="o"/>
      <w:lvlJc w:val="left"/>
      <w:pPr>
        <w:ind w:left="3600" w:hanging="360"/>
      </w:pPr>
      <w:rPr>
        <w:rFonts w:ascii="Courier New" w:hAnsi="Courier New" w:cs="Courier New" w:hint="default"/>
      </w:rPr>
    </w:lvl>
    <w:lvl w:ilvl="5" w:tplc="5198969A" w:tentative="1">
      <w:start w:val="1"/>
      <w:numFmt w:val="bullet"/>
      <w:lvlText w:val=""/>
      <w:lvlJc w:val="left"/>
      <w:pPr>
        <w:ind w:left="4320" w:hanging="360"/>
      </w:pPr>
      <w:rPr>
        <w:rFonts w:ascii="Wingdings" w:hAnsi="Wingdings" w:hint="default"/>
      </w:rPr>
    </w:lvl>
    <w:lvl w:ilvl="6" w:tplc="37228D84" w:tentative="1">
      <w:start w:val="1"/>
      <w:numFmt w:val="bullet"/>
      <w:lvlText w:val=""/>
      <w:lvlJc w:val="left"/>
      <w:pPr>
        <w:ind w:left="5040" w:hanging="360"/>
      </w:pPr>
      <w:rPr>
        <w:rFonts w:ascii="Symbol" w:hAnsi="Symbol" w:hint="default"/>
      </w:rPr>
    </w:lvl>
    <w:lvl w:ilvl="7" w:tplc="AC5E4332" w:tentative="1">
      <w:start w:val="1"/>
      <w:numFmt w:val="bullet"/>
      <w:lvlText w:val="o"/>
      <w:lvlJc w:val="left"/>
      <w:pPr>
        <w:ind w:left="5760" w:hanging="360"/>
      </w:pPr>
      <w:rPr>
        <w:rFonts w:ascii="Courier New" w:hAnsi="Courier New" w:cs="Courier New" w:hint="default"/>
      </w:rPr>
    </w:lvl>
    <w:lvl w:ilvl="8" w:tplc="2BFAA346"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10"/>
  </w:num>
  <w:num w:numId="4">
    <w:abstractNumId w:val="8"/>
  </w:num>
  <w:num w:numId="5">
    <w:abstractNumId w:val="7"/>
  </w:num>
  <w:num w:numId="6">
    <w:abstractNumId w:val="3"/>
  </w:num>
  <w:num w:numId="7">
    <w:abstractNumId w:val="12"/>
  </w:num>
  <w:num w:numId="8">
    <w:abstractNumId w:val="9"/>
  </w:num>
  <w:num w:numId="9">
    <w:abstractNumId w:val="0"/>
  </w:num>
  <w:num w:numId="10">
    <w:abstractNumId w:val="13"/>
  </w:num>
  <w:num w:numId="11">
    <w:abstractNumId w:val="11"/>
  </w:num>
  <w:num w:numId="12">
    <w:abstractNumId w:val="5"/>
  </w:num>
  <w:num w:numId="13">
    <w:abstractNumId w:val="2"/>
  </w:num>
  <w:num w:numId="14">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efaultImageDpi w14:val="32767"/>
  <w15:chartTrackingRefBased/>
  <w15:docId w15:val="{4D764FEC-B651-4DBF-A2D7-2E2D42C4B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Arial"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Times New Roman" w:hAnsi="Arial" w:cs="Times New Roman"/>
    </w:rPr>
  </w:style>
  <w:style w:type="paragraph" w:styleId="Heading1">
    <w:name w:val="heading 1"/>
    <w:basedOn w:val="Normal"/>
    <w:link w:val="Heading1Char"/>
    <w:autoRedefine/>
    <w:uiPriority w:val="1"/>
    <w:qFormat/>
    <w:pPr>
      <w:pBdr>
        <w:top w:val="single" w:sz="24" w:space="1" w:color="001F5B"/>
        <w:left w:val="single" w:sz="24" w:space="4" w:color="001F5B"/>
        <w:bottom w:val="single" w:sz="24" w:space="1" w:color="001F5B"/>
        <w:right w:val="single" w:sz="24" w:space="4" w:color="001F5B"/>
      </w:pBdr>
      <w:shd w:val="clear" w:color="auto" w:fill="001647"/>
      <w:tabs>
        <w:tab w:val="left" w:pos="360"/>
      </w:tabs>
      <w:ind w:left="144"/>
      <w:outlineLvl w:val="0"/>
    </w:pPr>
    <w:rPr>
      <w:b/>
      <w:bCs/>
      <w:caps/>
      <w:color w:val="FFFFFF" w:themeColor="background1"/>
      <w:sz w:val="26"/>
      <w:szCs w:val="32"/>
    </w:rPr>
  </w:style>
  <w:style w:type="paragraph" w:styleId="Heading2">
    <w:name w:val="heading 2"/>
    <w:link w:val="Heading2Char"/>
    <w:autoRedefine/>
    <w:uiPriority w:val="1"/>
    <w:qFormat/>
    <w:pPr>
      <w:tabs>
        <w:tab w:val="left" w:pos="630"/>
      </w:tabs>
      <w:outlineLvl w:val="1"/>
    </w:pPr>
    <w:rPr>
      <w:rFonts w:ascii="Arial" w:hAnsi="Arial" w:cs="Times New Roman"/>
      <w:b/>
      <w:bCs/>
      <w:color w:val="001647"/>
      <w:lang w:val="es-ES_tradnl"/>
    </w:rPr>
  </w:style>
  <w:style w:type="paragraph" w:styleId="Heading3">
    <w:name w:val="heading 3"/>
    <w:basedOn w:val="Normal"/>
    <w:link w:val="Heading3Char"/>
    <w:uiPriority w:val="1"/>
    <w:qFormat/>
    <w:pPr>
      <w:outlineLvl w:val="2"/>
    </w:pPr>
    <w:rPr>
      <w:b/>
      <w:bCs/>
      <w:color w:val="001647"/>
      <w:u w:val="single"/>
    </w:rPr>
  </w:style>
  <w:style w:type="paragraph" w:styleId="Heading4">
    <w:name w:val="heading 4"/>
    <w:basedOn w:val="Normal"/>
    <w:link w:val="Heading4Char"/>
    <w:uiPriority w:val="1"/>
    <w:qFormat/>
    <w:pPr>
      <w:tabs>
        <w:tab w:val="left" w:pos="900"/>
      </w:tabs>
      <w:outlineLvl w:val="3"/>
    </w:pPr>
    <w:rPr>
      <w:b/>
      <w:bCs/>
      <w:i/>
      <w:color w:val="00164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cs="Segoe UI"/>
      <w:sz w:val="18"/>
      <w:szCs w:val="18"/>
    </w:rPr>
  </w:style>
  <w:style w:type="character" w:customStyle="1" w:styleId="BalloonTextChar">
    <w:name w:val="Balloon Text Char"/>
    <w:basedOn w:val="DefaultParagraphFont"/>
    <w:link w:val="BalloonText"/>
    <w:uiPriority w:val="99"/>
    <w:semiHidden/>
    <w:rPr>
      <w:rFonts w:ascii="Arial" w:eastAsia="Times New Roman" w:hAnsi="Arial" w:cs="Segoe UI"/>
      <w:color w:val="FF0000"/>
      <w:sz w:val="18"/>
      <w:szCs w:val="18"/>
    </w:rPr>
  </w:style>
  <w:style w:type="paragraph" w:styleId="BodyText">
    <w:name w:val="Body Text"/>
    <w:basedOn w:val="Normal"/>
    <w:link w:val="BodyTextChar"/>
    <w:uiPriority w:val="1"/>
    <w:qFormat/>
  </w:style>
  <w:style w:type="character" w:customStyle="1" w:styleId="BodyTextChar">
    <w:name w:val="Body Text Char"/>
    <w:basedOn w:val="DefaultParagraphFont"/>
    <w:link w:val="BodyText"/>
    <w:uiPriority w:val="1"/>
    <w:rPr>
      <w:rFonts w:ascii="Arial" w:eastAsia="Arial" w:hAnsi="Arial" w:cs="Arial"/>
      <w:color w:val="FF0000"/>
      <w:sz w:val="22"/>
      <w:szCs w:val="22"/>
      <w:lang w:bidi="en-US"/>
    </w:rPr>
  </w:style>
  <w:style w:type="character" w:styleId="CommentReference">
    <w:name w:val="annotation reference"/>
    <w:basedOn w:val="DefaultParagraphFont"/>
    <w:uiPriority w:val="99"/>
    <w:semiHidden/>
    <w:unhideWhenUsed/>
    <w:rPr>
      <w:rFonts w:ascii="Arial" w:hAnsi="Arial"/>
      <w:color w:val="auto"/>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eastAsia="Arial" w:hAnsi="Arial" w:cs="Arial"/>
      <w:color w:val="FF0000"/>
      <w:sz w:val="20"/>
      <w:szCs w:val="20"/>
      <w:lang w:bidi="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Arial" w:eastAsia="Arial" w:hAnsi="Arial" w:cs="Arial"/>
      <w:b/>
      <w:bCs/>
      <w:color w:val="FF0000"/>
      <w:sz w:val="20"/>
      <w:szCs w:val="20"/>
      <w:lang w:bidi="en-US"/>
    </w:rPr>
  </w:style>
  <w:style w:type="character" w:styleId="EndnoteReference">
    <w:name w:val="endnote reference"/>
    <w:basedOn w:val="DefaultParagraphFont"/>
    <w:uiPriority w:val="99"/>
    <w:semiHidden/>
    <w:unhideWhenUsed/>
    <w:rPr>
      <w:rFonts w:ascii="Arial" w:hAnsi="Arial"/>
      <w:color w:val="auto"/>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rFonts w:ascii="Arial" w:eastAsia="Arial" w:hAnsi="Arial" w:cs="Arial"/>
      <w:color w:val="FF0000"/>
      <w:sz w:val="20"/>
      <w:szCs w:val="20"/>
      <w:lang w:bidi="en-US"/>
    </w:rPr>
  </w:style>
  <w:style w:type="character" w:styleId="FollowedHyperlink">
    <w:name w:val="FollowedHyperlink"/>
    <w:basedOn w:val="DefaultParagraphFont"/>
    <w:uiPriority w:val="99"/>
    <w:semiHidden/>
    <w:unhideWhenUsed/>
    <w:rPr>
      <w:rFonts w:ascii="Arial" w:hAnsi="Arial"/>
      <w:color w:val="FFFFFF" w:themeColor="followedHyperlink"/>
      <w:u w:val="single"/>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Arial" w:eastAsia="Arial" w:hAnsi="Arial" w:cs="Arial"/>
      <w:color w:val="FF0000"/>
      <w:sz w:val="22"/>
      <w:szCs w:val="22"/>
      <w:lang w:bidi="en-US"/>
    </w:rPr>
  </w:style>
  <w:style w:type="character" w:styleId="FootnoteReference">
    <w:name w:val="footnote reference"/>
    <w:rPr>
      <w:vertAlign w:val="superscript"/>
    </w:rPr>
  </w:style>
  <w:style w:type="paragraph" w:styleId="FootnoteText">
    <w:name w:val="footnote text"/>
    <w:basedOn w:val="Normal"/>
    <w:link w:val="FootnoteTextChar"/>
    <w:pPr>
      <w:jc w:val="right"/>
    </w:pPr>
    <w:rPr>
      <w:rFonts w:cs="Arial"/>
      <w:sz w:val="18"/>
      <w:szCs w:val="18"/>
    </w:rPr>
  </w:style>
  <w:style w:type="character" w:customStyle="1" w:styleId="FootnoteTextChar">
    <w:name w:val="Footnote Text Char"/>
    <w:basedOn w:val="DefaultParagraphFont"/>
    <w:link w:val="FootnoteText"/>
    <w:rPr>
      <w:rFonts w:ascii="Arial" w:eastAsia="Times New Roman" w:hAnsi="Arial" w:cs="Arial"/>
      <w:color w:val="FF0000"/>
      <w:sz w:val="18"/>
      <w:szCs w:val="18"/>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Arial" w:eastAsia="Arial" w:hAnsi="Arial" w:cs="Arial"/>
      <w:color w:val="FF0000"/>
      <w:sz w:val="22"/>
      <w:szCs w:val="22"/>
      <w:lang w:bidi="en-US"/>
    </w:rPr>
  </w:style>
  <w:style w:type="character" w:customStyle="1" w:styleId="Heading1Char">
    <w:name w:val="Heading 1 Char"/>
    <w:basedOn w:val="DefaultParagraphFont"/>
    <w:link w:val="Heading1"/>
    <w:uiPriority w:val="1"/>
    <w:rPr>
      <w:rFonts w:ascii="Arial" w:eastAsia="Times New Roman" w:hAnsi="Arial" w:cs="Times New Roman"/>
      <w:b/>
      <w:bCs/>
      <w:caps/>
      <w:color w:val="FFFFFF" w:themeColor="background1"/>
      <w:sz w:val="26"/>
      <w:szCs w:val="32"/>
      <w:shd w:val="clear" w:color="auto" w:fill="001647"/>
    </w:rPr>
  </w:style>
  <w:style w:type="character" w:customStyle="1" w:styleId="Heading2Char">
    <w:name w:val="Heading 2 Char"/>
    <w:basedOn w:val="DefaultParagraphFont"/>
    <w:link w:val="Heading2"/>
    <w:uiPriority w:val="1"/>
    <w:rPr>
      <w:rFonts w:ascii="Arial" w:hAnsi="Arial" w:cs="Times New Roman"/>
      <w:b/>
      <w:bCs/>
      <w:color w:val="001647"/>
      <w:lang w:val="es-ES_tradnl"/>
    </w:rPr>
  </w:style>
  <w:style w:type="character" w:customStyle="1" w:styleId="Heading3Char">
    <w:name w:val="Heading 3 Char"/>
    <w:basedOn w:val="DefaultParagraphFont"/>
    <w:link w:val="Heading3"/>
    <w:uiPriority w:val="1"/>
    <w:rPr>
      <w:rFonts w:ascii="Arial" w:eastAsia="Times New Roman" w:hAnsi="Arial" w:cs="Times New Roman"/>
      <w:b/>
      <w:bCs/>
      <w:color w:val="001647"/>
      <w:u w:val="single"/>
    </w:rPr>
  </w:style>
  <w:style w:type="character" w:customStyle="1" w:styleId="Heading4Char">
    <w:name w:val="Heading 4 Char"/>
    <w:basedOn w:val="DefaultParagraphFont"/>
    <w:link w:val="Heading4"/>
    <w:uiPriority w:val="1"/>
    <w:rPr>
      <w:rFonts w:ascii="Arial" w:eastAsia="Times New Roman" w:hAnsi="Arial" w:cs="Times New Roman"/>
      <w:b/>
      <w:bCs/>
      <w:i/>
      <w:color w:val="001647"/>
      <w:sz w:val="22"/>
    </w:rPr>
  </w:style>
  <w:style w:type="character" w:styleId="Hyperlink">
    <w:name w:val="Hyperlink"/>
    <w:basedOn w:val="DefaultParagraphFont"/>
    <w:uiPriority w:val="99"/>
    <w:unhideWhenUsed/>
    <w:rPr>
      <w:rFonts w:ascii="Arial" w:hAnsi="Arial"/>
      <w:color w:val="215E9E"/>
      <w:u w:val="single"/>
    </w:rPr>
  </w:style>
  <w:style w:type="paragraph" w:styleId="ListParagraph">
    <w:name w:val="List Paragraph"/>
    <w:basedOn w:val="Normal"/>
    <w:uiPriority w:val="1"/>
    <w:qFormat/>
    <w:pPr>
      <w:ind w:left="1060" w:hanging="360"/>
    </w:pPr>
  </w:style>
  <w:style w:type="numbering" w:customStyle="1" w:styleId="NoList1">
    <w:name w:val="No List1"/>
    <w:next w:val="NoList"/>
    <w:uiPriority w:val="99"/>
    <w:semiHidden/>
    <w:unhideWhenUsed/>
  </w:style>
  <w:style w:type="paragraph" w:styleId="NoSpacing">
    <w:name w:val="No Spacing"/>
    <w:uiPriority w:val="1"/>
    <w:qFormat/>
    <w:rPr>
      <w:rFonts w:ascii="Arial" w:eastAsia="Calibri" w:hAnsi="Arial" w:cs="Times New Roman"/>
      <w:sz w:val="22"/>
      <w:szCs w:val="22"/>
    </w:rPr>
  </w:style>
  <w:style w:type="character" w:styleId="PageNumber">
    <w:name w:val="page number"/>
    <w:basedOn w:val="DefaultParagraphFont"/>
    <w:uiPriority w:val="99"/>
    <w:semiHidden/>
    <w:unhideWhenUsed/>
    <w:rPr>
      <w:rFonts w:ascii="Arial" w:hAnsi="Arial"/>
      <w:color w:val="auto"/>
    </w:rPr>
  </w:style>
  <w:style w:type="character" w:styleId="SubtleEmphasis">
    <w:name w:val="Subtle Emphasis"/>
    <w:uiPriority w:val="19"/>
    <w:qFormat/>
    <w:rPr>
      <w:i/>
      <w:iCs/>
      <w:color w:val="595959"/>
    </w:rPr>
  </w:style>
  <w:style w:type="paragraph" w:customStyle="1" w:styleId="TableParagraph">
    <w:name w:val="Table Paragraph"/>
    <w:basedOn w:val="Normal"/>
    <w:uiPriority w:val="1"/>
    <w:qFormat/>
  </w:style>
  <w:style w:type="paragraph" w:styleId="TOC1">
    <w:name w:val="toc 1"/>
    <w:uiPriority w:val="39"/>
    <w:qFormat/>
    <w:pPr>
      <w:spacing w:before="120"/>
    </w:pPr>
    <w:rPr>
      <w:rFonts w:ascii="Arial" w:eastAsia="Times New Roman" w:hAnsi="Arial" w:cs="Calibri (Body)"/>
      <w:b/>
      <w:bCs/>
      <w:iCs/>
    </w:rPr>
  </w:style>
  <w:style w:type="paragraph" w:styleId="TOC2">
    <w:name w:val="toc 2"/>
    <w:basedOn w:val="Normal"/>
    <w:uiPriority w:val="39"/>
    <w:qFormat/>
    <w:pPr>
      <w:spacing w:before="40" w:after="80"/>
      <w:ind w:left="216"/>
    </w:pPr>
    <w:rPr>
      <w:rFonts w:cstheme="minorHAnsi"/>
      <w:bCs/>
      <w:szCs w:val="22"/>
    </w:rPr>
  </w:style>
  <w:style w:type="paragraph" w:styleId="TOC3">
    <w:name w:val="toc 3"/>
    <w:basedOn w:val="Normal"/>
    <w:next w:val="Normal"/>
    <w:autoRedefine/>
    <w:uiPriority w:val="39"/>
    <w:unhideWhenUsed/>
    <w:pPr>
      <w:ind w:left="440"/>
    </w:pPr>
    <w:rPr>
      <w:rFonts w:cs="Calibri (Body)"/>
      <w:szCs w:val="20"/>
    </w:rPr>
  </w:style>
  <w:style w:type="paragraph" w:styleId="TOCHeading">
    <w:name w:val="TOC Heading"/>
    <w:basedOn w:val="Heading1"/>
    <w:next w:val="Normal"/>
    <w:uiPriority w:val="39"/>
    <w:unhideWhenUsed/>
    <w:qFormat/>
    <w:pPr>
      <w:keepNext/>
      <w:keepLines/>
      <w:spacing w:before="480" w:line="276" w:lineRule="auto"/>
      <w:ind w:left="0"/>
      <w:outlineLvl w:val="9"/>
    </w:pPr>
    <w:rPr>
      <w:rFonts w:asciiTheme="majorHAnsi" w:eastAsiaTheme="majorEastAsia" w:hAnsiTheme="majorHAnsi" w:cstheme="majorBidi"/>
      <w:color w:val="001035" w:themeColor="accent1" w:themeShade="BF"/>
      <w:sz w:val="28"/>
      <w:szCs w:val="28"/>
    </w:rPr>
  </w:style>
  <w:style w:type="paragraph" w:customStyle="1" w:styleId="BasicParagraph">
    <w:name w:val="[Basic Paragraph]"/>
    <w:basedOn w:val="Normal"/>
    <w:uiPriority w:val="99"/>
    <w:pPr>
      <w:adjustRightInd w:val="0"/>
      <w:spacing w:line="288" w:lineRule="auto"/>
      <w:textAlignment w:val="center"/>
    </w:pPr>
    <w:rPr>
      <w:rFonts w:cs="MinionPro-Regular"/>
      <w:color w:val="000000"/>
    </w:rPr>
  </w:style>
  <w:style w:type="character" w:customStyle="1" w:styleId="Mencinsinresolver1">
    <w:name w:val="Mención sin resolver1"/>
    <w:basedOn w:val="DefaultParagraphFont"/>
    <w:uiPriority w:val="99"/>
    <w:rPr>
      <w:rFonts w:ascii="Arial" w:hAnsi="Arial"/>
      <w:color w:val="808080"/>
      <w:shd w:val="clear" w:color="auto" w:fill="E6E6E6"/>
    </w:rPr>
  </w:style>
  <w:style w:type="paragraph" w:styleId="NormalWeb">
    <w:name w:val="Normal (Web)"/>
    <w:basedOn w:val="Normal"/>
    <w:uiPriority w:val="99"/>
    <w:unhideWhenUsed/>
    <w:pPr>
      <w:spacing w:before="100" w:beforeAutospacing="1" w:after="100" w:afterAutospacing="1"/>
    </w:p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hitequote">
    <w:name w:val="White quote"/>
    <w:basedOn w:val="Normal"/>
    <w:uiPriority w:val="1"/>
    <w:qFormat/>
    <w:pPr>
      <w:framePr w:hSpace="180" w:wrap="around" w:vAnchor="text" w:hAnchor="text" w:xAlign="right" w:y="1"/>
      <w:suppressOverlap/>
      <w:jc w:val="center"/>
    </w:pPr>
    <w:rPr>
      <w:rFonts w:cs="Arial"/>
      <w:i/>
      <w:color w:val="FFFFFF" w:themeColor="background1"/>
      <w:szCs w:val="22"/>
    </w:rPr>
  </w:style>
  <w:style w:type="paragraph" w:customStyle="1" w:styleId="Bluequote">
    <w:name w:val="Blue quote"/>
    <w:basedOn w:val="Normal"/>
    <w:uiPriority w:val="1"/>
    <w:qFormat/>
    <w:pPr>
      <w:framePr w:hSpace="180" w:wrap="around" w:vAnchor="text" w:hAnchor="text" w:xAlign="right" w:y="1"/>
      <w:suppressOverlap/>
      <w:jc w:val="center"/>
    </w:pPr>
    <w:rPr>
      <w:rFonts w:cs="Arial"/>
      <w:b/>
      <w:i/>
      <w:color w:val="001647"/>
      <w:szCs w:val="22"/>
    </w:rPr>
  </w:style>
  <w:style w:type="paragraph" w:customStyle="1" w:styleId="Tableheading">
    <w:name w:val="Table heading"/>
    <w:basedOn w:val="Normal"/>
    <w:uiPriority w:val="1"/>
    <w:qFormat/>
    <w:pPr>
      <w:jc w:val="center"/>
    </w:pPr>
    <w:rPr>
      <w:rFonts w:cs="Arial"/>
      <w:b/>
      <w:szCs w:val="28"/>
    </w:rPr>
  </w:style>
  <w:style w:type="paragraph" w:styleId="TOC4">
    <w:name w:val="toc 4"/>
    <w:basedOn w:val="Normal"/>
    <w:next w:val="Normal"/>
    <w:autoRedefine/>
    <w:uiPriority w:val="39"/>
    <w:unhideWhenUsed/>
    <w:pPr>
      <w:ind w:left="660"/>
    </w:pPr>
    <w:rPr>
      <w:rFonts w:asciiTheme="minorHAnsi" w:hAnsiTheme="minorHAnsi" w:cstheme="minorHAnsi"/>
      <w:sz w:val="20"/>
      <w:szCs w:val="20"/>
    </w:rPr>
  </w:style>
  <w:style w:type="paragraph" w:styleId="TOC5">
    <w:name w:val="toc 5"/>
    <w:basedOn w:val="Normal"/>
    <w:next w:val="Normal"/>
    <w:autoRedefine/>
    <w:uiPriority w:val="39"/>
    <w:unhideWhenUsed/>
    <w:pPr>
      <w:ind w:left="880"/>
    </w:pPr>
    <w:rPr>
      <w:rFonts w:asciiTheme="minorHAnsi" w:hAnsiTheme="minorHAnsi" w:cstheme="minorHAnsi"/>
      <w:sz w:val="20"/>
      <w:szCs w:val="20"/>
    </w:rPr>
  </w:style>
  <w:style w:type="paragraph" w:styleId="TOC6">
    <w:name w:val="toc 6"/>
    <w:basedOn w:val="Normal"/>
    <w:next w:val="Normal"/>
    <w:autoRedefine/>
    <w:uiPriority w:val="39"/>
    <w:unhideWhenUsed/>
    <w:pPr>
      <w:ind w:left="1100"/>
    </w:pPr>
    <w:rPr>
      <w:rFonts w:asciiTheme="minorHAnsi" w:hAnsiTheme="minorHAnsi" w:cstheme="minorHAnsi"/>
      <w:sz w:val="20"/>
      <w:szCs w:val="20"/>
    </w:rPr>
  </w:style>
  <w:style w:type="paragraph" w:styleId="TOC7">
    <w:name w:val="toc 7"/>
    <w:basedOn w:val="Normal"/>
    <w:next w:val="Normal"/>
    <w:autoRedefine/>
    <w:uiPriority w:val="39"/>
    <w:unhideWhenUsed/>
    <w:pPr>
      <w:ind w:left="1320"/>
    </w:pPr>
    <w:rPr>
      <w:rFonts w:asciiTheme="minorHAnsi" w:hAnsiTheme="minorHAnsi" w:cstheme="minorHAnsi"/>
      <w:sz w:val="20"/>
      <w:szCs w:val="20"/>
    </w:rPr>
  </w:style>
  <w:style w:type="paragraph" w:styleId="TOC8">
    <w:name w:val="toc 8"/>
    <w:basedOn w:val="Normal"/>
    <w:next w:val="Normal"/>
    <w:autoRedefine/>
    <w:uiPriority w:val="39"/>
    <w:unhideWhenUsed/>
    <w:pPr>
      <w:ind w:left="1540"/>
    </w:pPr>
    <w:rPr>
      <w:rFonts w:asciiTheme="minorHAnsi" w:hAnsiTheme="minorHAnsi" w:cstheme="minorHAnsi"/>
      <w:sz w:val="20"/>
      <w:szCs w:val="20"/>
    </w:rPr>
  </w:style>
  <w:style w:type="paragraph" w:styleId="TOC9">
    <w:name w:val="toc 9"/>
    <w:basedOn w:val="Normal"/>
    <w:next w:val="Normal"/>
    <w:autoRedefine/>
    <w:uiPriority w:val="39"/>
    <w:unhideWhenUsed/>
    <w:pPr>
      <w:ind w:left="1760"/>
    </w:pPr>
    <w:rPr>
      <w:rFonts w:asciiTheme="minorHAnsi" w:hAnsiTheme="minorHAnsi" w:cstheme="minorHAnsi"/>
      <w:sz w:val="20"/>
      <w:szCs w:val="20"/>
    </w:rPr>
  </w:style>
  <w:style w:type="paragraph" w:customStyle="1" w:styleId="ChartText">
    <w:name w:val="Chart Text"/>
    <w:basedOn w:val="Normal"/>
    <w:uiPriority w:val="1"/>
    <w:qFormat/>
    <w:rPr>
      <w:rFonts w:cs="Arial"/>
      <w:color w:val="000000"/>
      <w:sz w:val="14"/>
      <w:szCs w:val="14"/>
    </w:rPr>
  </w:style>
  <w:style w:type="paragraph" w:customStyle="1" w:styleId="Chartheader">
    <w:name w:val="Chart header"/>
    <w:basedOn w:val="Normal"/>
    <w:uiPriority w:val="1"/>
    <w:qFormat/>
    <w:rPr>
      <w:b/>
      <w:bCs/>
      <w:sz w:val="16"/>
      <w:szCs w:val="16"/>
    </w:rPr>
  </w:style>
  <w:style w:type="paragraph" w:styleId="Title">
    <w:name w:val="Title"/>
    <w:basedOn w:val="Normal"/>
    <w:next w:val="Normal"/>
    <w:link w:val="TitleChar"/>
    <w:uiPriority w:val="10"/>
    <w:qFormat/>
    <w:rPr>
      <w:rFonts w:cs="Arial"/>
      <w:sz w:val="46"/>
      <w:szCs w:val="46"/>
    </w:rPr>
  </w:style>
  <w:style w:type="character" w:customStyle="1" w:styleId="TitleChar">
    <w:name w:val="Title Char"/>
    <w:basedOn w:val="DefaultParagraphFont"/>
    <w:link w:val="Title"/>
    <w:uiPriority w:val="10"/>
    <w:rPr>
      <w:rFonts w:ascii="Arial" w:eastAsia="Times New Roman" w:hAnsi="Arial" w:cs="Arial"/>
      <w:color w:val="FF0000"/>
      <w:sz w:val="46"/>
      <w:szCs w:val="46"/>
    </w:rPr>
  </w:style>
  <w:style w:type="paragraph" w:styleId="Subtitle">
    <w:name w:val="Subtitle"/>
    <w:basedOn w:val="Normal"/>
    <w:next w:val="Normal"/>
    <w:link w:val="SubtitleChar"/>
    <w:uiPriority w:val="11"/>
    <w:qFormat/>
    <w:rPr>
      <w:rFonts w:cs="Arial"/>
      <w:b/>
      <w:sz w:val="46"/>
      <w:szCs w:val="46"/>
    </w:rPr>
  </w:style>
  <w:style w:type="character" w:customStyle="1" w:styleId="SubtitleChar">
    <w:name w:val="Subtitle Char"/>
    <w:basedOn w:val="DefaultParagraphFont"/>
    <w:link w:val="Subtitle"/>
    <w:uiPriority w:val="11"/>
    <w:rPr>
      <w:rFonts w:ascii="Arial" w:eastAsia="Times New Roman" w:hAnsi="Arial" w:cs="Arial"/>
      <w:b/>
      <w:color w:val="FF0000"/>
      <w:sz w:val="46"/>
      <w:szCs w:val="46"/>
    </w:rPr>
  </w:style>
  <w:style w:type="paragraph" w:styleId="BlockText">
    <w:name w:val="Block Text"/>
    <w:basedOn w:val="Normal"/>
    <w:uiPriority w:val="99"/>
    <w:semiHidden/>
    <w:unhideWhenUsed/>
    <w:pPr>
      <w:pBdr>
        <w:top w:val="single" w:sz="2" w:space="10" w:color="001647" w:themeColor="accent1"/>
        <w:left w:val="single" w:sz="2" w:space="10" w:color="001647" w:themeColor="accent1"/>
        <w:bottom w:val="single" w:sz="2" w:space="10" w:color="001647" w:themeColor="accent1"/>
        <w:right w:val="single" w:sz="2" w:space="10" w:color="001647" w:themeColor="accent1"/>
      </w:pBdr>
      <w:ind w:left="1152" w:right="1152"/>
    </w:pPr>
    <w:rPr>
      <w:rFonts w:asciiTheme="minorHAnsi" w:eastAsiaTheme="minorEastAsia" w:hAnsiTheme="minorHAnsi" w:cstheme="minorBidi"/>
      <w:i/>
      <w:iCs/>
      <w:color w:val="001647" w:themeColor="accent1"/>
    </w:rPr>
  </w:style>
  <w:style w:type="paragraph" w:styleId="DocumentMap">
    <w:name w:val="Document Map"/>
    <w:basedOn w:val="Normal"/>
    <w:link w:val="DocumentMapChar"/>
    <w:uiPriority w:val="99"/>
    <w:semiHidden/>
    <w:unhideWhenUsed/>
    <w:rPr>
      <w:sz w:val="26"/>
      <w:szCs w:val="26"/>
    </w:rPr>
  </w:style>
  <w:style w:type="character" w:customStyle="1" w:styleId="DocumentMapChar">
    <w:name w:val="Document Map Char"/>
    <w:basedOn w:val="DefaultParagraphFont"/>
    <w:link w:val="DocumentMap"/>
    <w:uiPriority w:val="99"/>
    <w:semiHidden/>
    <w:rPr>
      <w:rFonts w:ascii="Arial" w:eastAsia="Times New Roman" w:hAnsi="Arial" w:cs="Times New Roman"/>
      <w:color w:val="FF0000"/>
      <w:sz w:val="26"/>
      <w:szCs w:val="26"/>
    </w:rPr>
  </w:style>
  <w:style w:type="character" w:styleId="Emphasis">
    <w:name w:val="Emphasis"/>
    <w:basedOn w:val="DefaultParagraphFont"/>
    <w:uiPriority w:val="20"/>
    <w:qFormat/>
    <w:rPr>
      <w:rFonts w:ascii="Arial" w:hAnsi="Arial"/>
      <w:i/>
      <w:iCs/>
      <w:color w:val="auto"/>
    </w:rPr>
  </w:style>
  <w:style w:type="character" w:styleId="Strong">
    <w:name w:val="Strong"/>
    <w:basedOn w:val="DefaultParagraphFont"/>
    <w:uiPriority w:val="22"/>
    <w:qFormat/>
    <w:rPr>
      <w:rFonts w:ascii="Arial" w:hAnsi="Arial"/>
      <w:b/>
      <w:bCs/>
      <w:color w:val="auto"/>
    </w:rPr>
  </w:style>
  <w:style w:type="character" w:styleId="BookTitle">
    <w:name w:val="Book Title"/>
    <w:basedOn w:val="DefaultParagraphFont"/>
    <w:uiPriority w:val="33"/>
    <w:qFormat/>
    <w:rPr>
      <w:rFonts w:ascii="Arial" w:hAnsi="Arial"/>
      <w:b/>
      <w:bCs/>
      <w:i/>
      <w:iCs/>
      <w:color w:val="auto"/>
      <w:spacing w:val="5"/>
    </w:rPr>
  </w:style>
  <w:style w:type="character" w:styleId="IntenseEmphasis">
    <w:name w:val="Intense Emphasis"/>
    <w:basedOn w:val="DefaultParagraphFont"/>
    <w:uiPriority w:val="21"/>
    <w:qFormat/>
    <w:rPr>
      <w:rFonts w:ascii="Arial" w:hAnsi="Arial"/>
      <w:i/>
      <w:iCs/>
      <w:color w:val="001647" w:themeColor="accent1"/>
    </w:rPr>
  </w:style>
  <w:style w:type="character" w:styleId="SubtleReference">
    <w:name w:val="Subtle Reference"/>
    <w:basedOn w:val="DefaultParagraphFont"/>
    <w:uiPriority w:val="31"/>
    <w:qFormat/>
    <w:rPr>
      <w:rFonts w:ascii="Arial" w:hAnsi="Arial"/>
      <w:smallCaps/>
      <w:color w:val="5A5A5A" w:themeColor="text1" w:themeTint="A5"/>
    </w:rPr>
  </w:style>
  <w:style w:type="character" w:styleId="IntenseReference">
    <w:name w:val="Intense Reference"/>
    <w:basedOn w:val="DefaultParagraphFont"/>
    <w:uiPriority w:val="32"/>
    <w:qFormat/>
    <w:rPr>
      <w:rFonts w:ascii="Arial" w:hAnsi="Arial"/>
      <w:b/>
      <w:bCs/>
      <w:smallCaps/>
      <w:color w:val="001647" w:themeColor="accent1"/>
      <w:spacing w:val="5"/>
    </w:rPr>
  </w:style>
  <w:style w:type="character" w:customStyle="1" w:styleId="Hashtag1">
    <w:name w:val="Hashtag1"/>
    <w:basedOn w:val="DefaultParagraphFont"/>
    <w:uiPriority w:val="99"/>
    <w:rPr>
      <w:rFonts w:ascii="Arial" w:hAnsi="Arial"/>
      <w:color w:val="2B579A"/>
      <w:shd w:val="clear" w:color="auto" w:fill="E1DFDD"/>
    </w:rPr>
  </w:style>
  <w:style w:type="character" w:styleId="HTMLAcronym">
    <w:name w:val="HTML Acronym"/>
    <w:basedOn w:val="DefaultParagraphFont"/>
    <w:uiPriority w:val="99"/>
    <w:semiHidden/>
    <w:unhideWhenUsed/>
    <w:rPr>
      <w:rFonts w:ascii="Consolas" w:hAnsi="Consolas"/>
    </w:rPr>
  </w:style>
  <w:style w:type="character" w:styleId="HTMLCite">
    <w:name w:val="HTML Cite"/>
    <w:basedOn w:val="DefaultParagraphFont"/>
    <w:uiPriority w:val="99"/>
    <w:semiHidden/>
    <w:unhideWhenUsed/>
    <w:rPr>
      <w:rFonts w:ascii="Consolas" w:hAnsi="Consolas"/>
      <w:i/>
      <w:iCs/>
    </w:rPr>
  </w:style>
  <w:style w:type="character" w:styleId="HTMLDefinition">
    <w:name w:val="HTML Definition"/>
    <w:basedOn w:val="DefaultParagraphFont"/>
    <w:uiPriority w:val="99"/>
    <w:semiHidden/>
    <w:unhideWhenUsed/>
    <w:rPr>
      <w:rFonts w:ascii="Consolas" w:hAnsi="Consolas"/>
      <w:i/>
      <w:iCs/>
    </w:rPr>
  </w:style>
  <w:style w:type="character" w:styleId="HTMLVariable">
    <w:name w:val="HTML Variable"/>
    <w:basedOn w:val="DefaultParagraphFont"/>
    <w:uiPriority w:val="99"/>
    <w:semiHidden/>
    <w:unhideWhenUsed/>
    <w:rPr>
      <w:rFonts w:ascii="Consolas" w:hAnsi="Consolas"/>
      <w:i/>
      <w:iCs/>
    </w:rPr>
  </w:style>
  <w:style w:type="character" w:styleId="LineNumber">
    <w:name w:val="line number"/>
    <w:basedOn w:val="DefaultParagraphFont"/>
    <w:uiPriority w:val="99"/>
    <w:semiHidden/>
    <w:unhideWhenUsed/>
    <w:rPr>
      <w:rFonts w:ascii="Arial" w:hAnsi="Arial"/>
    </w:rPr>
  </w:style>
  <w:style w:type="character" w:customStyle="1" w:styleId="Mencionar1">
    <w:name w:val="Mencionar1"/>
    <w:basedOn w:val="DefaultParagraphFont"/>
    <w:uiPriority w:val="99"/>
    <w:semiHidden/>
    <w:unhideWhenUsed/>
    <w:rPr>
      <w:rFonts w:ascii="Arial" w:hAnsi="Arial"/>
      <w:color w:val="2B579A"/>
      <w:shd w:val="clear" w:color="auto" w:fill="E1DFDD"/>
    </w:rPr>
  </w:style>
  <w:style w:type="character" w:styleId="PlaceholderText">
    <w:name w:val="Placeholder Text"/>
    <w:basedOn w:val="DefaultParagraphFont"/>
    <w:uiPriority w:val="99"/>
    <w:semiHidden/>
    <w:rPr>
      <w:rFonts w:ascii="Arial" w:hAnsi="Arial"/>
      <w:color w:val="808080"/>
    </w:rPr>
  </w:style>
  <w:style w:type="character" w:customStyle="1" w:styleId="Hipervnculointeligente1">
    <w:name w:val="Hipervínculo inteligente1"/>
    <w:basedOn w:val="DefaultParagraphFont"/>
    <w:uiPriority w:val="99"/>
    <w:semiHidden/>
    <w:unhideWhenUsed/>
    <w:rPr>
      <w:rFonts w:ascii="Arial" w:hAnsi="Arial"/>
      <w:u w:val="dotted"/>
    </w:rPr>
  </w:style>
  <w:style w:type="character" w:customStyle="1" w:styleId="SmartLink1">
    <w:name w:val="SmartLink1"/>
    <w:basedOn w:val="DefaultParagraphFont"/>
    <w:uiPriority w:val="99"/>
    <w:semiHidden/>
    <w:unhideWhenUsed/>
    <w:rPr>
      <w:rFonts w:ascii="Arial" w:hAnsi="Arial"/>
      <w:color w:val="0000FF"/>
      <w:u w:val="single"/>
      <w:shd w:val="clear" w:color="auto" w:fill="F3F2F1"/>
    </w:rPr>
  </w:style>
  <w:style w:type="paragraph" w:styleId="HTMLAddress">
    <w:name w:val="HTML Address"/>
    <w:basedOn w:val="Normal"/>
    <w:link w:val="HTMLAddressChar"/>
    <w:uiPriority w:val="99"/>
    <w:semiHidden/>
    <w:unhideWhenUsed/>
    <w:rPr>
      <w:rFonts w:ascii="Consolas" w:hAnsi="Consolas"/>
      <w:i/>
      <w:iCs/>
    </w:rPr>
  </w:style>
  <w:style w:type="character" w:customStyle="1" w:styleId="HTMLAddressChar">
    <w:name w:val="HTML Address Char"/>
    <w:basedOn w:val="DefaultParagraphFont"/>
    <w:link w:val="HTMLAddress"/>
    <w:uiPriority w:val="99"/>
    <w:semiHidden/>
    <w:rPr>
      <w:rFonts w:ascii="Consolas" w:eastAsia="Times New Roman" w:hAnsi="Consolas" w:cs="Times New Roman"/>
      <w:i/>
      <w:iCs/>
      <w:sz w:val="22"/>
    </w:rPr>
  </w:style>
  <w:style w:type="paragraph" w:customStyle="1" w:styleId="indent-2">
    <w:name w:val="indent-2"/>
    <w:basedOn w:val="Normal"/>
    <w:pPr>
      <w:spacing w:before="100" w:beforeAutospacing="1" w:after="100" w:afterAutospacing="1"/>
    </w:pPr>
    <w:rPr>
      <w:rFonts w:ascii="Times New Roman" w:hAnsi="Times New Roman"/>
    </w:rPr>
  </w:style>
  <w:style w:type="character" w:customStyle="1" w:styleId="paragraph-hierarchy">
    <w:name w:val="paragraph-hierarchy"/>
    <w:basedOn w:val="DefaultParagraphFont"/>
  </w:style>
  <w:style w:type="character" w:customStyle="1" w:styleId="paren">
    <w:name w:val="paren"/>
    <w:basedOn w:val="DefaultParagraphFont"/>
  </w:style>
  <w:style w:type="paragraph" w:customStyle="1" w:styleId="indent-3">
    <w:name w:val="indent-3"/>
    <w:basedOn w:val="Normal"/>
    <w:pPr>
      <w:spacing w:before="100" w:beforeAutospacing="1" w:after="100" w:afterAutospacing="1"/>
    </w:pPr>
    <w:rPr>
      <w:rFonts w:ascii="Times New Roman" w:hAnsi="Times New Roman"/>
    </w:rPr>
  </w:style>
  <w:style w:type="paragraph" w:styleId="Revision">
    <w:name w:val="Revision"/>
    <w:hidden/>
    <w:uiPriority w:val="99"/>
    <w:semiHidden/>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hmsa.dot.gov/about-phmsa/offices/office-hazardous-materials-safety" TargetMode="External"/><Relationship Id="rId18" Type="http://schemas.openxmlformats.org/officeDocument/2006/relationships/hyperlink" Target="https://www.phmsa.dot.gov/registration/registration-information"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phmsa.dot.gov/registration/definition-registration-terms" TargetMode="External"/><Relationship Id="rId7" Type="http://schemas.openxmlformats.org/officeDocument/2006/relationships/settings" Target="settings.xml"/><Relationship Id="rId12" Type="http://schemas.openxmlformats.org/officeDocument/2006/relationships/hyperlink" Target="http://www.fmcsa.dot.gov/regulations/hazardous-materials" TargetMode="External"/><Relationship Id="rId17" Type="http://schemas.openxmlformats.org/officeDocument/2006/relationships/hyperlink" Target="mailto:mc-ecc.comments@dot.gov"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fmcsa.dot.gov/registration/getting-started" TargetMode="External"/><Relationship Id="rId20" Type="http://schemas.openxmlformats.org/officeDocument/2006/relationships/hyperlink" Target="http://www.phmsa.dot.gov/registration/definition-registration-term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phmsa.dot.gov/registration/registration-information" TargetMode="External"/><Relationship Id="rId5" Type="http://schemas.openxmlformats.org/officeDocument/2006/relationships/numbering" Target="numbering.xml"/><Relationship Id="rId15" Type="http://schemas.openxmlformats.org/officeDocument/2006/relationships/hyperlink" Target="https://www.phmsa.dot.gov/about-phmsa/offices/office-hazardous-materials-safety" TargetMode="External"/><Relationship Id="rId23" Type="http://schemas.openxmlformats.org/officeDocument/2006/relationships/hyperlink" Target="http://www.phmsa.dot.gov/registration/definition-registration-terms"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phmsa.dot.gov/registration/registration-inform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mcsa.dot.gov/regulations/hazardous-materials" TargetMode="External"/><Relationship Id="rId22" Type="http://schemas.openxmlformats.org/officeDocument/2006/relationships/hyperlink" Target="http://www.phmsa.dot.gov/registration/definition-registration-terms"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FMCSA">
  <a:themeElements>
    <a:clrScheme name="Custom 2">
      <a:dk1>
        <a:srgbClr val="000000"/>
      </a:dk1>
      <a:lt1>
        <a:srgbClr val="FFFFFF"/>
      </a:lt1>
      <a:dk2>
        <a:srgbClr val="000000"/>
      </a:dk2>
      <a:lt2>
        <a:srgbClr val="FFFFFF"/>
      </a:lt2>
      <a:accent1>
        <a:srgbClr val="001647"/>
      </a:accent1>
      <a:accent2>
        <a:srgbClr val="EEB111"/>
      </a:accent2>
      <a:accent3>
        <a:srgbClr val="D7D2CB"/>
      </a:accent3>
      <a:accent4>
        <a:srgbClr val="7F7F7F"/>
      </a:accent4>
      <a:accent5>
        <a:srgbClr val="0070BD"/>
      </a:accent5>
      <a:accent6>
        <a:srgbClr val="FFFFFF"/>
      </a:accent6>
      <a:hlink>
        <a:srgbClr val="205E9E"/>
      </a:hlink>
      <a:folHlink>
        <a:srgbClr val="FFFFF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38AE1BDC98BACD4A9CF5271F38446763" ma:contentTypeVersion="7" ma:contentTypeDescription="Create a new document." ma:contentTypeScope="" ma:versionID="519c2dc553ab95e71d74d1adbb88d4bd">
  <xsd:schema xmlns:xsd="http://www.w3.org/2001/XMLSchema" xmlns:xs="http://www.w3.org/2001/XMLSchema" xmlns:p="http://schemas.microsoft.com/office/2006/metadata/properties" xmlns:ns2="681ff6d0-27ea-4c07-8b87-7041e13c33b2" xmlns:ns3="d7161cff-cebe-4ee4-991b-fbb604f7ef14" targetNamespace="http://schemas.microsoft.com/office/2006/metadata/properties" ma:root="true" ma:fieldsID="77f0fb11c16d840f5011f548ed6e8553" ns2:_="" ns3:_="">
    <xsd:import namespace="681ff6d0-27ea-4c07-8b87-7041e13c33b2"/>
    <xsd:import namespace="d7161cff-cebe-4ee4-991b-fbb604f7ef1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ff6d0-27ea-4c07-8b87-7041e13c33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161cff-cebe-4ee4-991b-fbb604f7ef1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5B5798-87DB-460F-8CAC-0413E6B28EF2}">
  <ds:schemaRefs>
    <ds:schemaRef ds:uri="http://schemas.microsoft.com/office/2006/documentManagement/types"/>
    <ds:schemaRef ds:uri="d7161cff-cebe-4ee4-991b-fbb604f7ef14"/>
    <ds:schemaRef ds:uri="http://purl.org/dc/elements/1.1/"/>
    <ds:schemaRef ds:uri="http://schemas.microsoft.com/office/2006/metadata/properties"/>
    <ds:schemaRef ds:uri="http://purl.org/dc/terms/"/>
    <ds:schemaRef ds:uri="http://schemas.microsoft.com/office/infopath/2007/PartnerControls"/>
    <ds:schemaRef ds:uri="http://schemas.openxmlformats.org/package/2006/metadata/core-properties"/>
    <ds:schemaRef ds:uri="681ff6d0-27ea-4c07-8b87-7041e13c33b2"/>
    <ds:schemaRef ds:uri="http://www.w3.org/XML/1998/namespace"/>
    <ds:schemaRef ds:uri="http://purl.org/dc/dcmitype/"/>
  </ds:schemaRefs>
</ds:datastoreItem>
</file>

<file path=customXml/itemProps2.xml><?xml version="1.0" encoding="utf-8"?>
<ds:datastoreItem xmlns:ds="http://schemas.openxmlformats.org/officeDocument/2006/customXml" ds:itemID="{6A78DB01-8A33-428F-9BD4-075AE94FA45C}">
  <ds:schemaRefs>
    <ds:schemaRef ds:uri="http://schemas.microsoft.com/sharepoint/v3/contenttype/forms"/>
  </ds:schemaRefs>
</ds:datastoreItem>
</file>

<file path=customXml/itemProps3.xml><?xml version="1.0" encoding="utf-8"?>
<ds:datastoreItem xmlns:ds="http://schemas.openxmlformats.org/officeDocument/2006/customXml" ds:itemID="{E9AB45AC-B559-4A28-806B-A868E766B5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ff6d0-27ea-4c07-8b87-7041e13c33b2"/>
    <ds:schemaRef ds:uri="d7161cff-cebe-4ee4-991b-fbb604f7ef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64F347-97DD-4A12-A75B-B36803A28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3314</Words>
  <Characters>18895</Characters>
  <Application>Microsoft Office Word</Application>
  <DocSecurity>0</DocSecurity>
  <Lines>157</Lines>
  <Paragraphs>44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22165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S.</dc:creator>
  <cp:lastModifiedBy>Marissa Schmidt</cp:lastModifiedBy>
  <cp:revision>6</cp:revision>
  <cp:lastPrinted>2022-02-14T18:19:00Z</cp:lastPrinted>
  <dcterms:created xsi:type="dcterms:W3CDTF">2022-02-14T18:13:00Z</dcterms:created>
  <dcterms:modified xsi:type="dcterms:W3CDTF">2022-02-14T18:23:00Z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0x01010038AE1BDC98BACD4A9CF5271F38446763</vt:lpwstr>
  </property>
</Properties>
</file>