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377C" w14:textId="435F673C" w:rsidR="00562617" w:rsidRDefault="00FB2819" w:rsidP="00562617">
      <w:pPr>
        <w:shd w:val="clear" w:color="auto" w:fill="FFFFFF"/>
        <w:spacing w:before="277" w:after="277"/>
        <w:jc w:val="right"/>
        <w:outlineLvl w:val="1"/>
        <w:rPr>
          <w:color w:val="000000"/>
        </w:rPr>
      </w:pPr>
      <w:r w:rsidRPr="00FB2819">
        <w:rPr>
          <w:color w:val="000000"/>
        </w:rPr>
        <w:t>FMCSA-D&amp;A-CLEAR-382.701-FAQ010(2022-01-27)</w:t>
      </w:r>
    </w:p>
    <w:p w14:paraId="209794F4" w14:textId="6E8D7F72" w:rsidR="00994F44" w:rsidRPr="005F23A1" w:rsidRDefault="00994F44" w:rsidP="00994F44">
      <w:pPr>
        <w:shd w:val="clear" w:color="auto" w:fill="FFFFFF"/>
        <w:spacing w:before="277" w:after="277"/>
        <w:outlineLvl w:val="1"/>
        <w:rPr>
          <w:rFonts w:cstheme="minorHAnsi"/>
          <w:b/>
          <w:bCs/>
          <w:color w:val="000000"/>
          <w:sz w:val="31"/>
          <w:szCs w:val="31"/>
        </w:rPr>
      </w:pPr>
      <w:r w:rsidRPr="005F23A1">
        <w:rPr>
          <w:rFonts w:cstheme="minorHAnsi"/>
          <w:b/>
          <w:bCs/>
          <w:color w:val="000000"/>
          <w:sz w:val="31"/>
          <w:szCs w:val="31"/>
        </w:rPr>
        <w:t>Part 38</w:t>
      </w:r>
      <w:r w:rsidR="008443C9">
        <w:rPr>
          <w:rFonts w:cstheme="minorHAnsi"/>
          <w:b/>
          <w:bCs/>
          <w:color w:val="000000"/>
          <w:sz w:val="31"/>
          <w:szCs w:val="31"/>
        </w:rPr>
        <w:t>2</w:t>
      </w:r>
      <w:r w:rsidRPr="005F23A1">
        <w:rPr>
          <w:rFonts w:cstheme="minorHAnsi"/>
          <w:b/>
          <w:bCs/>
          <w:color w:val="000000"/>
          <w:sz w:val="31"/>
          <w:szCs w:val="31"/>
        </w:rPr>
        <w:t xml:space="preserve"> – </w:t>
      </w:r>
      <w:r w:rsidR="008443C9">
        <w:rPr>
          <w:rFonts w:cstheme="minorHAnsi"/>
          <w:b/>
          <w:bCs/>
          <w:color w:val="000000"/>
          <w:sz w:val="31"/>
          <w:szCs w:val="31"/>
        </w:rPr>
        <w:t>Controlled Substances and Alcohol Use and Testing</w:t>
      </w:r>
    </w:p>
    <w:p w14:paraId="723A11A1" w14:textId="06B87F04" w:rsidR="00994F44" w:rsidRDefault="00E21B89" w:rsidP="00994F44">
      <w:pPr>
        <w:shd w:val="clear" w:color="auto" w:fill="FFFFFF"/>
        <w:spacing w:before="277" w:after="277"/>
        <w:outlineLvl w:val="1"/>
        <w:rPr>
          <w:rFonts w:cstheme="minorHAnsi"/>
          <w:b/>
          <w:color w:val="000000"/>
          <w:sz w:val="31"/>
          <w:szCs w:val="31"/>
        </w:rPr>
      </w:pPr>
      <w:r>
        <w:rPr>
          <w:rFonts w:cstheme="minorHAnsi"/>
          <w:b/>
          <w:color w:val="000000"/>
          <w:sz w:val="31"/>
          <w:szCs w:val="31"/>
        </w:rPr>
        <w:t>Clearinghouse FAQ</w:t>
      </w:r>
    </w:p>
    <w:p w14:paraId="14D9B867" w14:textId="77777777" w:rsidR="00FB2819" w:rsidRDefault="00ED118A" w:rsidP="00FB2819">
      <w:pPr>
        <w:spacing w:after="0" w:line="240" w:lineRule="auto"/>
        <w:rPr>
          <w:rFonts w:cstheme="minorHAnsi"/>
          <w:sz w:val="24"/>
          <w:szCs w:val="24"/>
        </w:rPr>
      </w:pPr>
      <w:r w:rsidRPr="00ED118A">
        <w:rPr>
          <w:rFonts w:cstheme="minorHAnsi"/>
          <w:b/>
          <w:bCs/>
          <w:sz w:val="24"/>
          <w:szCs w:val="24"/>
        </w:rPr>
        <w:t>Q</w:t>
      </w:r>
      <w:r>
        <w:rPr>
          <w:rFonts w:cstheme="minorHAnsi"/>
          <w:b/>
          <w:bCs/>
          <w:sz w:val="24"/>
          <w:szCs w:val="24"/>
        </w:rPr>
        <w:t>uestion:</w:t>
      </w:r>
      <w:r w:rsidRPr="00ED118A">
        <w:rPr>
          <w:rFonts w:cstheme="minorHAnsi"/>
          <w:b/>
          <w:bCs/>
          <w:sz w:val="24"/>
          <w:szCs w:val="24"/>
        </w:rPr>
        <w:t xml:space="preserve"> </w:t>
      </w:r>
      <w:r w:rsidR="00FB2819">
        <w:rPr>
          <w:rFonts w:cstheme="minorHAnsi"/>
          <w:sz w:val="24"/>
          <w:szCs w:val="24"/>
        </w:rPr>
        <w:t xml:space="preserve">Is an employer required to conduct a pre-employment query of the Clearinghouse for a driver-applicant subject to </w:t>
      </w:r>
      <w:hyperlink r:id="rId6" w:history="1">
        <w:r w:rsidR="00FB2819">
          <w:rPr>
            <w:rStyle w:val="Hyperlink"/>
            <w:rFonts w:cstheme="minorHAnsi"/>
            <w:sz w:val="24"/>
            <w:szCs w:val="24"/>
          </w:rPr>
          <w:t>49 CFR Part 382</w:t>
        </w:r>
      </w:hyperlink>
      <w:r w:rsidR="00FB2819">
        <w:rPr>
          <w:rFonts w:cstheme="minorHAnsi"/>
          <w:sz w:val="24"/>
          <w:szCs w:val="24"/>
        </w:rPr>
        <w:t xml:space="preserve"> before administering a road test in accordance with </w:t>
      </w:r>
      <w:hyperlink r:id="rId7" w:history="1">
        <w:r w:rsidR="00FB2819">
          <w:rPr>
            <w:rStyle w:val="Hyperlink"/>
            <w:rFonts w:cstheme="minorHAnsi"/>
            <w:sz w:val="24"/>
            <w:szCs w:val="24"/>
          </w:rPr>
          <w:t>49 CFR 391.31</w:t>
        </w:r>
      </w:hyperlink>
      <w:r w:rsidR="00FB2819">
        <w:rPr>
          <w:rFonts w:cstheme="minorHAnsi"/>
          <w:sz w:val="24"/>
          <w:szCs w:val="24"/>
        </w:rPr>
        <w:t xml:space="preserve">? </w:t>
      </w:r>
    </w:p>
    <w:p w14:paraId="667D0251" w14:textId="77777777" w:rsidR="00BC7577" w:rsidRDefault="00C824E7" w:rsidP="00BC7577">
      <w:pPr>
        <w:shd w:val="clear" w:color="auto" w:fill="FFFFFF"/>
        <w:spacing w:before="277" w:after="277" w:line="240" w:lineRule="auto"/>
        <w:outlineLvl w:val="1"/>
        <w:rPr>
          <w:rFonts w:cstheme="minorHAnsi"/>
          <w:sz w:val="24"/>
          <w:szCs w:val="24"/>
        </w:rPr>
      </w:pPr>
      <w:r w:rsidRPr="00ED276E">
        <w:rPr>
          <w:rFonts w:cstheme="minorHAnsi"/>
          <w:b/>
          <w:bCs/>
          <w:sz w:val="24"/>
          <w:szCs w:val="24"/>
        </w:rPr>
        <w:t>Guidance:</w:t>
      </w:r>
      <w:r w:rsidRPr="00AA5D0F">
        <w:rPr>
          <w:rFonts w:cstheme="minorHAnsi"/>
          <w:b/>
          <w:bCs/>
          <w:i/>
          <w:iCs/>
          <w:sz w:val="24"/>
          <w:szCs w:val="24"/>
        </w:rPr>
        <w:t xml:space="preserve"> </w:t>
      </w:r>
      <w:r w:rsidR="00FB2819">
        <w:rPr>
          <w:rFonts w:cstheme="minorHAnsi"/>
          <w:sz w:val="24"/>
          <w:szCs w:val="24"/>
        </w:rPr>
        <w:t xml:space="preserve">No. An employer is not required to conduct a pre-employment query of the Clearinghouse before administering a road test to a prospective driver subject to </w:t>
      </w:r>
      <w:hyperlink r:id="rId8" w:history="1">
        <w:r w:rsidR="00FB2819">
          <w:rPr>
            <w:rStyle w:val="Hyperlink"/>
            <w:rFonts w:cstheme="minorHAnsi"/>
            <w:sz w:val="24"/>
            <w:szCs w:val="24"/>
          </w:rPr>
          <w:t>Part 382</w:t>
        </w:r>
      </w:hyperlink>
      <w:r w:rsidR="00FB2819">
        <w:rPr>
          <w:rFonts w:cstheme="minorHAnsi"/>
          <w:sz w:val="24"/>
          <w:szCs w:val="24"/>
        </w:rPr>
        <w:t xml:space="preserve">.  Under </w:t>
      </w:r>
      <w:hyperlink r:id="rId9" w:history="1">
        <w:r w:rsidR="00FB2819">
          <w:rPr>
            <w:rStyle w:val="Hyperlink"/>
            <w:rFonts w:cstheme="minorHAnsi"/>
            <w:sz w:val="24"/>
            <w:szCs w:val="24"/>
          </w:rPr>
          <w:t>49 CFR 382.701(a)</w:t>
        </w:r>
      </w:hyperlink>
      <w:r w:rsidR="00FB2819">
        <w:rPr>
          <w:rFonts w:cstheme="minorHAnsi"/>
          <w:sz w:val="24"/>
          <w:szCs w:val="24"/>
        </w:rPr>
        <w:t>, employers are required to query the Clearinghouse when hiring a driver to perform safety sensitive functions. The road test occurs before the driver is hired; therefore, employers may conduct a pre-employment query at the time they road test a prospective driver but are not required to do so.</w:t>
      </w:r>
    </w:p>
    <w:p w14:paraId="02639347" w14:textId="4669DE2B" w:rsidR="00C824E7" w:rsidRPr="00D41B37" w:rsidRDefault="00C824E7" w:rsidP="00BC7577">
      <w:pPr>
        <w:shd w:val="clear" w:color="auto" w:fill="FFFFFF"/>
        <w:spacing w:before="277" w:after="277" w:line="240" w:lineRule="auto"/>
        <w:outlineLvl w:val="1"/>
        <w:rPr>
          <w:rFonts w:cstheme="minorHAnsi"/>
          <w:color w:val="000000"/>
          <w:sz w:val="24"/>
          <w:szCs w:val="24"/>
        </w:rPr>
      </w:pPr>
      <w:r w:rsidRPr="00D41B37">
        <w:rPr>
          <w:rFonts w:cstheme="minorHAnsi"/>
          <w:b/>
          <w:color w:val="000000"/>
          <w:sz w:val="24"/>
          <w:szCs w:val="24"/>
        </w:rPr>
        <w:t xml:space="preserve">FMCSA </w:t>
      </w:r>
      <w:r w:rsidR="0054579A">
        <w:rPr>
          <w:rFonts w:cstheme="minorHAnsi"/>
          <w:b/>
          <w:color w:val="000000"/>
          <w:sz w:val="24"/>
          <w:szCs w:val="24"/>
        </w:rPr>
        <w:t>Drug and Alcohol Clearinghouse</w:t>
      </w:r>
      <w:r w:rsidRPr="00D41B37">
        <w:rPr>
          <w:rFonts w:cstheme="minorHAnsi"/>
          <w:color w:val="000000"/>
          <w:sz w:val="24"/>
          <w:szCs w:val="24"/>
        </w:rPr>
        <w:t xml:space="preserve">, </w:t>
      </w:r>
      <w:r w:rsidR="0054579A">
        <w:rPr>
          <w:rFonts w:cstheme="minorHAnsi"/>
          <w:color w:val="000000"/>
          <w:sz w:val="24"/>
          <w:szCs w:val="24"/>
        </w:rPr>
        <w:t>1-8</w:t>
      </w:r>
      <w:r w:rsidR="00ED118A">
        <w:rPr>
          <w:rFonts w:cstheme="minorHAnsi"/>
          <w:color w:val="000000"/>
          <w:sz w:val="24"/>
          <w:szCs w:val="24"/>
        </w:rPr>
        <w:t>44-955-0207</w:t>
      </w:r>
    </w:p>
    <w:p w14:paraId="28D87F25" w14:textId="3836F1B6" w:rsidR="00562617" w:rsidRPr="00562617" w:rsidRDefault="00562617" w:rsidP="00C824E7">
      <w:pPr>
        <w:autoSpaceDE w:val="0"/>
        <w:autoSpaceDN w:val="0"/>
        <w:adjustRightInd w:val="0"/>
        <w:spacing w:after="0" w:line="240" w:lineRule="auto"/>
        <w:rPr>
          <w:rFonts w:cstheme="minorHAnsi"/>
          <w:b/>
          <w:bCs/>
          <w:color w:val="000000"/>
          <w:sz w:val="24"/>
          <w:szCs w:val="24"/>
        </w:rPr>
      </w:pPr>
      <w:r w:rsidRPr="00562617">
        <w:rPr>
          <w:rFonts w:cstheme="minorHAnsi"/>
          <w:b/>
          <w:bCs/>
          <w:color w:val="000000"/>
          <w:sz w:val="24"/>
          <w:szCs w:val="24"/>
        </w:rPr>
        <w:t xml:space="preserve">Regulatory Topic: </w:t>
      </w:r>
      <w:r w:rsidR="008443C9">
        <w:rPr>
          <w:rFonts w:cstheme="minorHAnsi"/>
          <w:color w:val="000000"/>
          <w:sz w:val="24"/>
          <w:szCs w:val="24"/>
        </w:rPr>
        <w:t>Clearinghouse FAQ</w:t>
      </w:r>
      <w:r w:rsidRPr="008443C9">
        <w:rPr>
          <w:rFonts w:cstheme="minorHAnsi"/>
          <w:color w:val="000000"/>
          <w:sz w:val="24"/>
          <w:szCs w:val="24"/>
        </w:rPr>
        <w:t xml:space="preserve"> </w:t>
      </w:r>
    </w:p>
    <w:p w14:paraId="515E280A" w14:textId="77777777" w:rsidR="00562617" w:rsidRDefault="00562617" w:rsidP="00C824E7">
      <w:pPr>
        <w:autoSpaceDE w:val="0"/>
        <w:autoSpaceDN w:val="0"/>
        <w:adjustRightInd w:val="0"/>
        <w:spacing w:after="0" w:line="240" w:lineRule="auto"/>
        <w:rPr>
          <w:rFonts w:cstheme="minorHAnsi"/>
          <w:color w:val="000000"/>
          <w:sz w:val="24"/>
          <w:szCs w:val="24"/>
        </w:rPr>
      </w:pPr>
    </w:p>
    <w:p w14:paraId="304BF368" w14:textId="0ACEF51B" w:rsidR="00BC7577" w:rsidRDefault="00BC7577" w:rsidP="00BC7577">
      <w:pPr>
        <w:autoSpaceDE w:val="0"/>
        <w:autoSpaceDN w:val="0"/>
        <w:adjustRightInd w:val="0"/>
        <w:spacing w:after="0" w:line="240" w:lineRule="auto"/>
        <w:rPr>
          <w:rFonts w:cstheme="minorHAnsi"/>
          <w:color w:val="000000"/>
          <w:sz w:val="24"/>
          <w:szCs w:val="24"/>
        </w:rPr>
      </w:pPr>
      <w:r>
        <w:rPr>
          <w:rFonts w:cstheme="minorHAnsi"/>
          <w:color w:val="000000"/>
          <w:sz w:val="24"/>
          <w:szCs w:val="24"/>
        </w:rPr>
        <w:t>Published Date:  January 2</w:t>
      </w:r>
      <w:r>
        <w:rPr>
          <w:rFonts w:cstheme="minorHAnsi"/>
          <w:color w:val="000000"/>
          <w:sz w:val="24"/>
          <w:szCs w:val="24"/>
        </w:rPr>
        <w:t>7</w:t>
      </w:r>
      <w:r>
        <w:rPr>
          <w:rFonts w:cstheme="minorHAnsi"/>
          <w:color w:val="000000"/>
          <w:sz w:val="24"/>
          <w:szCs w:val="24"/>
        </w:rPr>
        <w:t>, 2022</w:t>
      </w:r>
    </w:p>
    <w:p w14:paraId="6CC5A143" w14:textId="77777777" w:rsidR="00BC7577" w:rsidRDefault="00BC7577" w:rsidP="00BC7577">
      <w:pPr>
        <w:autoSpaceDE w:val="0"/>
        <w:autoSpaceDN w:val="0"/>
        <w:adjustRightInd w:val="0"/>
        <w:spacing w:after="0" w:line="240" w:lineRule="auto"/>
        <w:rPr>
          <w:rFonts w:cstheme="minorHAnsi"/>
          <w:color w:val="000000"/>
          <w:sz w:val="24"/>
          <w:szCs w:val="24"/>
        </w:rPr>
      </w:pPr>
    </w:p>
    <w:p w14:paraId="74C8884A" w14:textId="7CBE9B05" w:rsidR="00BC7577" w:rsidRDefault="00BC7577" w:rsidP="00BC7577">
      <w:pPr>
        <w:autoSpaceDE w:val="0"/>
        <w:autoSpaceDN w:val="0"/>
        <w:adjustRightInd w:val="0"/>
        <w:spacing w:after="0" w:line="240" w:lineRule="auto"/>
        <w:rPr>
          <w:rFonts w:cstheme="minorHAnsi"/>
          <w:color w:val="000000"/>
          <w:sz w:val="24"/>
          <w:szCs w:val="24"/>
        </w:rPr>
      </w:pPr>
      <w:r>
        <w:rPr>
          <w:rFonts w:cstheme="minorHAnsi"/>
          <w:color w:val="000000"/>
          <w:sz w:val="24"/>
          <w:szCs w:val="24"/>
        </w:rPr>
        <w:t>Issued Date:  January 2</w:t>
      </w:r>
      <w:r>
        <w:rPr>
          <w:rFonts w:cstheme="minorHAnsi"/>
          <w:color w:val="000000"/>
          <w:sz w:val="24"/>
          <w:szCs w:val="24"/>
        </w:rPr>
        <w:t>7</w:t>
      </w:r>
      <w:r>
        <w:rPr>
          <w:rFonts w:cstheme="minorHAnsi"/>
          <w:color w:val="000000"/>
          <w:sz w:val="24"/>
          <w:szCs w:val="24"/>
        </w:rPr>
        <w:t>, 2022</w:t>
      </w:r>
    </w:p>
    <w:p w14:paraId="4C216FF3" w14:textId="77777777" w:rsidR="00BC7577" w:rsidRDefault="00BC7577" w:rsidP="00BC7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14:paraId="39D09ADD" w14:textId="77777777" w:rsidR="00BC7577" w:rsidRDefault="00BC7577" w:rsidP="00BC7577">
      <w:pPr>
        <w:autoSpaceDE w:val="0"/>
        <w:autoSpaceDN w:val="0"/>
        <w:adjustRightInd w:val="0"/>
        <w:spacing w:after="0" w:line="240" w:lineRule="auto"/>
        <w:rPr>
          <w:rFonts w:ascii="Times New Roman" w:hAnsi="Times New Roman" w:cs="Times New Roman"/>
          <w:sz w:val="24"/>
          <w:szCs w:val="24"/>
        </w:rPr>
      </w:pPr>
    </w:p>
    <w:p w14:paraId="12D1E51B" w14:textId="77777777" w:rsidR="00BC7577" w:rsidRDefault="00BC7577" w:rsidP="00BC757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Note: This guidance document does not have the force and effect of law and is not meant to bind the public in any way.  This document is intended only to provide information and clarity regarding existing requirements under the law or agency policies.</w:t>
      </w:r>
    </w:p>
    <w:p w14:paraId="162BB45A" w14:textId="77777777" w:rsidR="00C824E7" w:rsidRDefault="00C824E7" w:rsidP="00BC7577">
      <w:pPr>
        <w:autoSpaceDE w:val="0"/>
        <w:autoSpaceDN w:val="0"/>
        <w:adjustRightInd w:val="0"/>
        <w:spacing w:after="0" w:line="240" w:lineRule="auto"/>
        <w:rPr>
          <w:rFonts w:ascii="Times New Roman" w:hAnsi="Times New Roman" w:cs="Times New Roman"/>
          <w:sz w:val="24"/>
          <w:szCs w:val="24"/>
        </w:rPr>
      </w:pPr>
    </w:p>
    <w:sectPr w:rsidR="00C824E7" w:rsidSect="007C637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E98EF" w14:textId="77777777" w:rsidR="00014E94" w:rsidRDefault="00014E94" w:rsidP="007C6371">
      <w:pPr>
        <w:spacing w:after="0" w:line="240" w:lineRule="auto"/>
      </w:pPr>
      <w:r>
        <w:separator/>
      </w:r>
    </w:p>
  </w:endnote>
  <w:endnote w:type="continuationSeparator" w:id="0">
    <w:p w14:paraId="55CEAF0E" w14:textId="77777777" w:rsidR="00014E94" w:rsidRDefault="00014E94" w:rsidP="007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314"/>
      <w:docPartObj>
        <w:docPartGallery w:val="Page Numbers (Bottom of Page)"/>
        <w:docPartUnique/>
      </w:docPartObj>
    </w:sdtPr>
    <w:sdtEndPr>
      <w:rPr>
        <w:rFonts w:cstheme="minorHAnsi"/>
        <w:noProof/>
      </w:rPr>
    </w:sdtEndPr>
    <w:sdtContent>
      <w:p w14:paraId="646FB9D6" w14:textId="076C7A39" w:rsidR="007C6371" w:rsidRPr="007C6371" w:rsidRDefault="007C6371">
        <w:pPr>
          <w:pStyle w:val="Footer"/>
          <w:jc w:val="center"/>
          <w:rPr>
            <w:rFonts w:cstheme="minorHAnsi"/>
          </w:rPr>
        </w:pPr>
        <w:r w:rsidRPr="007C6371">
          <w:rPr>
            <w:rFonts w:cstheme="minorHAnsi"/>
          </w:rPr>
          <w:fldChar w:fldCharType="begin"/>
        </w:r>
        <w:r w:rsidRPr="007C6371">
          <w:rPr>
            <w:rFonts w:cstheme="minorHAnsi"/>
          </w:rPr>
          <w:instrText xml:space="preserve"> PAGE   \* MERGEFORMAT </w:instrText>
        </w:r>
        <w:r w:rsidRPr="007C6371">
          <w:rPr>
            <w:rFonts w:cstheme="minorHAnsi"/>
          </w:rPr>
          <w:fldChar w:fldCharType="separate"/>
        </w:r>
        <w:r w:rsidRPr="007C6371">
          <w:rPr>
            <w:rFonts w:cstheme="minorHAnsi"/>
            <w:noProof/>
          </w:rPr>
          <w:t>2</w:t>
        </w:r>
        <w:r w:rsidRPr="007C6371">
          <w:rPr>
            <w:rFonts w:cstheme="minorHAnsi"/>
            <w:noProof/>
          </w:rPr>
          <w:fldChar w:fldCharType="end"/>
        </w:r>
      </w:p>
    </w:sdtContent>
  </w:sdt>
  <w:p w14:paraId="320DE8CD" w14:textId="77777777" w:rsidR="007C6371" w:rsidRDefault="007C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0625F" w14:textId="77777777" w:rsidR="00014E94" w:rsidRDefault="00014E94" w:rsidP="007C6371">
      <w:pPr>
        <w:spacing w:after="0" w:line="240" w:lineRule="auto"/>
      </w:pPr>
      <w:r>
        <w:separator/>
      </w:r>
    </w:p>
  </w:footnote>
  <w:footnote w:type="continuationSeparator" w:id="0">
    <w:p w14:paraId="7296D5A5" w14:textId="77777777" w:rsidR="00014E94" w:rsidRDefault="00014E94" w:rsidP="007C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14E94"/>
    <w:rsid w:val="00024874"/>
    <w:rsid w:val="000A4FAB"/>
    <w:rsid w:val="000C72B9"/>
    <w:rsid w:val="000D431E"/>
    <w:rsid w:val="0014601B"/>
    <w:rsid w:val="0015440B"/>
    <w:rsid w:val="00187072"/>
    <w:rsid w:val="001D547E"/>
    <w:rsid w:val="00240C4B"/>
    <w:rsid w:val="00260C15"/>
    <w:rsid w:val="00274B9E"/>
    <w:rsid w:val="002A00AA"/>
    <w:rsid w:val="002E040D"/>
    <w:rsid w:val="00320D33"/>
    <w:rsid w:val="00392F9E"/>
    <w:rsid w:val="003A2492"/>
    <w:rsid w:val="003A2FCF"/>
    <w:rsid w:val="003B540D"/>
    <w:rsid w:val="00473417"/>
    <w:rsid w:val="00505043"/>
    <w:rsid w:val="0054579A"/>
    <w:rsid w:val="00546177"/>
    <w:rsid w:val="00562617"/>
    <w:rsid w:val="005860AE"/>
    <w:rsid w:val="00592F75"/>
    <w:rsid w:val="0059460A"/>
    <w:rsid w:val="005D681C"/>
    <w:rsid w:val="00607AD4"/>
    <w:rsid w:val="00642EFE"/>
    <w:rsid w:val="00653AC2"/>
    <w:rsid w:val="00687299"/>
    <w:rsid w:val="00694C6C"/>
    <w:rsid w:val="006C4518"/>
    <w:rsid w:val="00757513"/>
    <w:rsid w:val="007960E8"/>
    <w:rsid w:val="007A57C4"/>
    <w:rsid w:val="007C33F8"/>
    <w:rsid w:val="007C6371"/>
    <w:rsid w:val="00811801"/>
    <w:rsid w:val="008168F3"/>
    <w:rsid w:val="008443C9"/>
    <w:rsid w:val="00850161"/>
    <w:rsid w:val="0085329B"/>
    <w:rsid w:val="008843EA"/>
    <w:rsid w:val="008E3F61"/>
    <w:rsid w:val="00937551"/>
    <w:rsid w:val="0096181F"/>
    <w:rsid w:val="009802A6"/>
    <w:rsid w:val="00994F44"/>
    <w:rsid w:val="009A4049"/>
    <w:rsid w:val="00A574FD"/>
    <w:rsid w:val="00A60C25"/>
    <w:rsid w:val="00A67BB9"/>
    <w:rsid w:val="00AD424D"/>
    <w:rsid w:val="00AD694C"/>
    <w:rsid w:val="00AE607A"/>
    <w:rsid w:val="00B02153"/>
    <w:rsid w:val="00B02C8D"/>
    <w:rsid w:val="00B25E70"/>
    <w:rsid w:val="00B870DA"/>
    <w:rsid w:val="00BC7577"/>
    <w:rsid w:val="00BD5B27"/>
    <w:rsid w:val="00BD5FE5"/>
    <w:rsid w:val="00C776CC"/>
    <w:rsid w:val="00C81CA5"/>
    <w:rsid w:val="00C824E7"/>
    <w:rsid w:val="00C92547"/>
    <w:rsid w:val="00C97654"/>
    <w:rsid w:val="00CE568D"/>
    <w:rsid w:val="00CF3B3A"/>
    <w:rsid w:val="00D223BB"/>
    <w:rsid w:val="00D275B4"/>
    <w:rsid w:val="00D40411"/>
    <w:rsid w:val="00E10D67"/>
    <w:rsid w:val="00E21B89"/>
    <w:rsid w:val="00E34AE1"/>
    <w:rsid w:val="00E674E9"/>
    <w:rsid w:val="00E67962"/>
    <w:rsid w:val="00ED118A"/>
    <w:rsid w:val="00ED276E"/>
    <w:rsid w:val="00ED7928"/>
    <w:rsid w:val="00EF2BED"/>
    <w:rsid w:val="00F119CC"/>
    <w:rsid w:val="00FB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0BA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4E7"/>
    <w:rPr>
      <w:sz w:val="16"/>
      <w:szCs w:val="16"/>
    </w:rPr>
  </w:style>
  <w:style w:type="paragraph" w:styleId="CommentText">
    <w:name w:val="annotation text"/>
    <w:basedOn w:val="Normal"/>
    <w:link w:val="CommentTextChar"/>
    <w:uiPriority w:val="99"/>
    <w:semiHidden/>
    <w:unhideWhenUsed/>
    <w:rsid w:val="00C824E7"/>
    <w:pPr>
      <w:spacing w:line="240" w:lineRule="auto"/>
    </w:pPr>
    <w:rPr>
      <w:sz w:val="20"/>
      <w:szCs w:val="20"/>
    </w:rPr>
  </w:style>
  <w:style w:type="character" w:customStyle="1" w:styleId="CommentTextChar">
    <w:name w:val="Comment Text Char"/>
    <w:basedOn w:val="DefaultParagraphFont"/>
    <w:link w:val="CommentText"/>
    <w:uiPriority w:val="99"/>
    <w:semiHidden/>
    <w:rsid w:val="00C824E7"/>
    <w:rPr>
      <w:sz w:val="20"/>
      <w:szCs w:val="20"/>
    </w:rPr>
  </w:style>
  <w:style w:type="paragraph" w:styleId="Header">
    <w:name w:val="header"/>
    <w:basedOn w:val="Normal"/>
    <w:link w:val="HeaderChar"/>
    <w:uiPriority w:val="99"/>
    <w:unhideWhenUsed/>
    <w:rsid w:val="007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1"/>
  </w:style>
  <w:style w:type="paragraph" w:styleId="Footer">
    <w:name w:val="footer"/>
    <w:basedOn w:val="Normal"/>
    <w:link w:val="FooterChar"/>
    <w:uiPriority w:val="99"/>
    <w:unhideWhenUsed/>
    <w:rsid w:val="007C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1"/>
  </w:style>
  <w:style w:type="paragraph" w:styleId="CommentSubject">
    <w:name w:val="annotation subject"/>
    <w:basedOn w:val="CommentText"/>
    <w:next w:val="CommentText"/>
    <w:link w:val="CommentSubjectChar"/>
    <w:uiPriority w:val="99"/>
    <w:semiHidden/>
    <w:unhideWhenUsed/>
    <w:rsid w:val="0054579A"/>
    <w:rPr>
      <w:b/>
      <w:bCs/>
    </w:rPr>
  </w:style>
  <w:style w:type="character" w:customStyle="1" w:styleId="CommentSubjectChar">
    <w:name w:val="Comment Subject Char"/>
    <w:basedOn w:val="CommentTextChar"/>
    <w:link w:val="CommentSubject"/>
    <w:uiPriority w:val="99"/>
    <w:semiHidden/>
    <w:rsid w:val="0054579A"/>
    <w:rPr>
      <w:b/>
      <w:bCs/>
      <w:sz w:val="20"/>
      <w:szCs w:val="20"/>
    </w:rPr>
  </w:style>
  <w:style w:type="character" w:styleId="UnresolvedMention">
    <w:name w:val="Unresolved Mention"/>
    <w:basedOn w:val="DefaultParagraphFont"/>
    <w:uiPriority w:val="99"/>
    <w:semiHidden/>
    <w:unhideWhenUsed/>
    <w:rsid w:val="0054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810904077">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335760584">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 w:id="1769885412">
      <w:bodyDiv w:val="1"/>
      <w:marLeft w:val="0"/>
      <w:marRight w:val="0"/>
      <w:marTop w:val="0"/>
      <w:marBottom w:val="0"/>
      <w:divBdr>
        <w:top w:val="none" w:sz="0" w:space="0" w:color="auto"/>
        <w:left w:val="none" w:sz="0" w:space="0" w:color="auto"/>
        <w:bottom w:val="none" w:sz="0" w:space="0" w:color="auto"/>
        <w:right w:val="none" w:sz="0" w:space="0" w:color="auto"/>
      </w:divBdr>
    </w:div>
    <w:div w:id="1828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82?toc=1" TargetMode="External"/><Relationship Id="rId3" Type="http://schemas.openxmlformats.org/officeDocument/2006/relationships/webSettings" Target="webSettings.xml"/><Relationship Id="rId7" Type="http://schemas.openxmlformats.org/officeDocument/2006/relationships/hyperlink" Target="https://www.ecfr.gov/current/title-49/subtitle-B/chapter-III/subchapter-B/part-391/subpart-D/section-391.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9/subtitle-B/chapter-III/subchapter-B/part-382?toc=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cfr.gov/current/title-49/subtitle-B/chapter-III/subchapter-B/part-382/subpart-G/section-382.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2</cp:revision>
  <dcterms:created xsi:type="dcterms:W3CDTF">2022-01-27T21:50:00Z</dcterms:created>
  <dcterms:modified xsi:type="dcterms:W3CDTF">2022-01-27T21:50:00Z</dcterms:modified>
</cp:coreProperties>
</file>