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8F" w:rsidRPr="00D83359" w:rsidRDefault="001C238F" w:rsidP="001C238F">
      <w:pPr>
        <w:pStyle w:val="NormalWeb"/>
        <w:spacing w:before="0" w:beforeAutospacing="0" w:after="90" w:afterAutospacing="0"/>
      </w:pPr>
      <w:bookmarkStart w:id="0" w:name="_GoBack"/>
      <w:r w:rsidRPr="00D83359">
        <w:rPr>
          <w:b/>
          <w:bCs/>
          <w:i/>
          <w:iCs/>
        </w:rPr>
        <w:t>Question 20:</w:t>
      </w:r>
      <w:r w:rsidRPr="00D83359">
        <w:rPr>
          <w:b/>
          <w:bCs/>
        </w:rPr>
        <w:t xml:space="preserve"> </w:t>
      </w:r>
      <w:r w:rsidRPr="00D83359">
        <w:t>Do the FMCSRs apply to Indian Tribal Governments?</w:t>
      </w:r>
    </w:p>
    <w:bookmarkEnd w:id="0"/>
    <w:p w:rsidR="001C238F" w:rsidRPr="00D83359" w:rsidRDefault="001C238F" w:rsidP="001C238F">
      <w:pPr>
        <w:pStyle w:val="NormalWeb"/>
        <w:spacing w:before="0" w:beforeAutospacing="0" w:after="90" w:afterAutospacing="0"/>
      </w:pPr>
      <w:r w:rsidRPr="00D83359">
        <w:rPr>
          <w:i/>
          <w:iCs/>
        </w:rPr>
        <w:t>Guidance:</w:t>
      </w:r>
      <w:r w:rsidRPr="00D83359">
        <w:t xml:space="preserve"> Under </w:t>
      </w:r>
      <w:hyperlink r:id="rId4" w:anchor="Tag11" w:history="1">
        <w:r w:rsidRPr="00D83359">
          <w:rPr>
            <w:rStyle w:val="Hyperlink"/>
          </w:rPr>
          <w:t>§</w:t>
        </w:r>
        <w:r>
          <w:rPr>
            <w:rStyle w:val="Hyperlink"/>
          </w:rPr>
          <w:t> </w:t>
        </w:r>
        <w:r w:rsidRPr="00D83359">
          <w:rPr>
            <w:rStyle w:val="Hyperlink"/>
          </w:rPr>
          <w:t>390.3</w:t>
        </w:r>
        <w:r>
          <w:rPr>
            <w:rStyle w:val="Hyperlink"/>
          </w:rPr>
          <w:t>T</w:t>
        </w:r>
        <w:r w:rsidRPr="00D83359">
          <w:rPr>
            <w:rStyle w:val="Hyperlink"/>
          </w:rPr>
          <w:t>(f)(2)</w:t>
        </w:r>
      </w:hyperlink>
      <w:r w:rsidRPr="00D83359">
        <w:t xml:space="preserve">, transportation performed by the Federal Government, States, or political subdivisions of a State is generally exempt from the FMCSRs. </w:t>
      </w:r>
      <w:r>
        <w:t xml:space="preserve">Since 1997, FHWA and FMCSA have likewise not enforced the FMCSRs against Indian Tribal Governments.  FMCSA reaffirms that longstanding position. </w:t>
      </w:r>
      <w:r w:rsidRPr="00D83359">
        <w:t>Thus, when a driver is employed by and is operating a CMV owned by a governmental entity, neither the driver, the vehicle, nor the entity is subject to the FMCSRs, with the following exceptions:</w:t>
      </w:r>
    </w:p>
    <w:p w:rsidR="001C238F" w:rsidRPr="00D83359" w:rsidRDefault="001C238F" w:rsidP="001C238F">
      <w:pPr>
        <w:pStyle w:val="NormalWeb"/>
        <w:spacing w:before="0" w:beforeAutospacing="0" w:after="90" w:afterAutospacing="0"/>
      </w:pPr>
      <w:r w:rsidRPr="00D83359">
        <w:t xml:space="preserve">(1) The requirements of </w:t>
      </w:r>
      <w:hyperlink r:id="rId5" w:history="1">
        <w:r w:rsidRPr="00D83359">
          <w:rPr>
            <w:rStyle w:val="Hyperlink"/>
          </w:rPr>
          <w:t>part 383</w:t>
        </w:r>
      </w:hyperlink>
      <w:r w:rsidRPr="00D83359">
        <w:t xml:space="preserve"> relating to CMV driver licensing standards;</w:t>
      </w:r>
    </w:p>
    <w:p w:rsidR="001C238F" w:rsidRPr="00D83359" w:rsidRDefault="001C238F" w:rsidP="001C238F">
      <w:pPr>
        <w:pStyle w:val="NormalWeb"/>
        <w:spacing w:before="0" w:beforeAutospacing="0" w:after="90" w:afterAutospacing="0"/>
      </w:pPr>
      <w:r w:rsidRPr="00D83359">
        <w:t xml:space="preserve">(2) The drug testing requirements in </w:t>
      </w:r>
      <w:hyperlink r:id="rId6" w:history="1">
        <w:r w:rsidRPr="00D83359">
          <w:rPr>
            <w:rStyle w:val="Hyperlink"/>
          </w:rPr>
          <w:t>part 382</w:t>
        </w:r>
      </w:hyperlink>
      <w:r w:rsidRPr="00D83359">
        <w:t>;</w:t>
      </w:r>
    </w:p>
    <w:p w:rsidR="001C238F" w:rsidRPr="00D83359" w:rsidRDefault="001C238F" w:rsidP="001C238F">
      <w:pPr>
        <w:pStyle w:val="NormalWeb"/>
        <w:spacing w:before="0" w:beforeAutospacing="0" w:after="90" w:afterAutospacing="0"/>
      </w:pPr>
      <w:r w:rsidRPr="00D83359">
        <w:t xml:space="preserve">(3) Alcohol testing when an employee is performing, about to perform, or just performed safety-sensitive functions. For the purposes of alcohol testing, safety-sensitive functions are defined in </w:t>
      </w:r>
      <w:hyperlink r:id="rId7" w:history="1">
        <w:r w:rsidRPr="00D83359">
          <w:rPr>
            <w:rStyle w:val="Hyperlink"/>
          </w:rPr>
          <w:t>§382.107</w:t>
        </w:r>
      </w:hyperlink>
      <w:r w:rsidRPr="00D83359">
        <w:t xml:space="preserve"> as any of those on-duty functions set forth in </w:t>
      </w:r>
      <w:hyperlink r:id="rId8" w:history="1">
        <w:r w:rsidRPr="00D83359">
          <w:rPr>
            <w:rStyle w:val="Hyperlink"/>
          </w:rPr>
          <w:t>§395.2</w:t>
        </w:r>
      </w:hyperlink>
      <w:r w:rsidRPr="00D83359">
        <w:t xml:space="preserve"> On-Duty time, paragraphs (1) through (6), (generally, driving and related activities) and;</w:t>
      </w:r>
    </w:p>
    <w:p w:rsidR="001C238F" w:rsidRPr="00D83359" w:rsidRDefault="001C238F" w:rsidP="001C238F">
      <w:pPr>
        <w:pStyle w:val="NormalWeb"/>
        <w:spacing w:before="0" w:beforeAutospacing="0" w:after="90" w:afterAutospacing="0"/>
      </w:pPr>
      <w:r w:rsidRPr="00D83359">
        <w:t xml:space="preserve">(4) The accident report retention requirements of </w:t>
      </w:r>
      <w:hyperlink r:id="rId9" w:history="1">
        <w:r w:rsidRPr="00D83359">
          <w:rPr>
            <w:rStyle w:val="Hyperlink"/>
          </w:rPr>
          <w:t>§390.15</w:t>
        </w:r>
      </w:hyperlink>
      <w:r w:rsidRPr="00D83359">
        <w:t xml:space="preserve"> are applicable when the governmental entity is performing interstate charter transportation of passengers.</w:t>
      </w:r>
    </w:p>
    <w:p w:rsidR="001C238F" w:rsidRDefault="001C238F" w:rsidP="001C2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E73" w:rsidRDefault="00DB0E73"/>
    <w:sectPr w:rsidR="00DB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F"/>
    <w:rsid w:val="001C238F"/>
    <w:rsid w:val="00D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61043-2F49-4FE7-8996-7DBAC548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23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ssharda/Desktop/22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ssharda/Desktop/2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ssharda/Desktop/2241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/Users/ssharda/Desktop/2241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/Users/ssharda/Desktop/2241" TargetMode="External"/><Relationship Id="rId9" Type="http://schemas.openxmlformats.org/officeDocument/2006/relationships/hyperlink" Target="file:///C:/Users/ssharda/Desktop/2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Lawless, Sue (FMCSA)</dc:creator>
  <cp:keywords/>
  <dc:description/>
  <cp:lastModifiedBy>Lawless, Sue (FMCSA)</cp:lastModifiedBy>
  <cp:revision>1</cp:revision>
  <dcterms:created xsi:type="dcterms:W3CDTF">2020-08-28T19:46:00Z</dcterms:created>
  <dcterms:modified xsi:type="dcterms:W3CDTF">2020-08-28T19:47:00Z</dcterms:modified>
</cp:coreProperties>
</file>