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4FBD" w:rsidRPr="00F13914" w:rsidRDefault="000A4FBD" w:rsidP="000A4FBD">
      <w:pPr>
        <w:pStyle w:val="NormalWeb"/>
        <w:spacing w:before="0" w:beforeAutospacing="0" w:after="90" w:afterAutospacing="0"/>
      </w:pPr>
      <w:bookmarkStart w:id="0" w:name="_GoBack"/>
      <w:r w:rsidRPr="00F13914">
        <w:rPr>
          <w:b/>
          <w:bCs/>
          <w:i/>
          <w:iCs/>
        </w:rPr>
        <w:t>Question 19:</w:t>
      </w:r>
      <w:r w:rsidRPr="00F13914">
        <w:rPr>
          <w:b/>
          <w:bCs/>
        </w:rPr>
        <w:t xml:space="preserve"> </w:t>
      </w:r>
      <w:r w:rsidRPr="00F13914">
        <w:t xml:space="preserve">‘‘Unless otherwise specifically provided,’’ </w:t>
      </w:r>
      <w:hyperlink r:id="rId4" w:anchor="Tag11" w:history="1">
        <w:r w:rsidRPr="00F13914">
          <w:rPr>
            <w:rStyle w:val="Hyperlink"/>
          </w:rPr>
          <w:t>§</w:t>
        </w:r>
        <w:r>
          <w:rPr>
            <w:rStyle w:val="Hyperlink"/>
          </w:rPr>
          <w:t> </w:t>
        </w:r>
        <w:r w:rsidRPr="00F13914">
          <w:rPr>
            <w:rStyle w:val="Hyperlink"/>
          </w:rPr>
          <w:t>3</w:t>
        </w:r>
        <w:r w:rsidRPr="00F13914">
          <w:rPr>
            <w:rStyle w:val="Hyperlink"/>
          </w:rPr>
          <w:t>9</w:t>
        </w:r>
        <w:r w:rsidRPr="00F13914">
          <w:rPr>
            <w:rStyle w:val="Hyperlink"/>
          </w:rPr>
          <w:t>0.3</w:t>
        </w:r>
        <w:r>
          <w:rPr>
            <w:rStyle w:val="Hyperlink"/>
          </w:rPr>
          <w:t>T</w:t>
        </w:r>
        <w:r w:rsidRPr="00F13914">
          <w:rPr>
            <w:rStyle w:val="Hyperlink"/>
          </w:rPr>
          <w:t>(f)(2)</w:t>
        </w:r>
      </w:hyperlink>
      <w:r w:rsidRPr="00F13914">
        <w:t xml:space="preserve"> exempts certain government entities and their drivers from compliance with 49 CFR Chapter III, Subchapter B, i.e., </w:t>
      </w:r>
      <w:hyperlink r:id="rId5" w:history="1">
        <w:r w:rsidRPr="00F13914">
          <w:rPr>
            <w:rStyle w:val="Hyperlink"/>
          </w:rPr>
          <w:t>parts 350</w:t>
        </w:r>
      </w:hyperlink>
      <w:r w:rsidRPr="00F13914">
        <w:t>-</w:t>
      </w:r>
      <w:hyperlink r:id="rId6" w:history="1">
        <w:r w:rsidRPr="00F13914">
          <w:rPr>
            <w:rStyle w:val="Hyperlink"/>
          </w:rPr>
          <w:t>399</w:t>
        </w:r>
      </w:hyperlink>
      <w:r w:rsidRPr="00F13914">
        <w:t>. Which parts are covered by this exemption and which are ‘‘otherwise specifically’’ excluded?</w:t>
      </w:r>
    </w:p>
    <w:p w:rsidR="000A4FBD" w:rsidRDefault="000A4FBD" w:rsidP="000A4FBD">
      <w:pPr>
        <w:pStyle w:val="NormalWeb"/>
        <w:spacing w:before="0" w:beforeAutospacing="0" w:after="90" w:afterAutospacing="0"/>
      </w:pPr>
      <w:r w:rsidRPr="00F13914">
        <w:rPr>
          <w:i/>
          <w:iCs/>
        </w:rPr>
        <w:t>Guidance:</w:t>
      </w:r>
      <w:r w:rsidRPr="00F13914">
        <w:t xml:space="preserve"> Government employers and drivers are exempt from compliance with </w:t>
      </w:r>
      <w:hyperlink r:id="rId7" w:history="1">
        <w:r w:rsidRPr="00F13914">
          <w:rPr>
            <w:rStyle w:val="Hyperlink"/>
          </w:rPr>
          <w:t>parts 325</w:t>
        </w:r>
      </w:hyperlink>
      <w:r w:rsidRPr="00F13914">
        <w:t xml:space="preserve">, </w:t>
      </w:r>
      <w:hyperlink r:id="rId8" w:history="1">
        <w:r w:rsidRPr="00F13914">
          <w:rPr>
            <w:rStyle w:val="Hyperlink"/>
          </w:rPr>
          <w:t>385</w:t>
        </w:r>
      </w:hyperlink>
      <w:r w:rsidRPr="00F13914">
        <w:t>,</w:t>
      </w:r>
      <w:r>
        <w:t xml:space="preserve"> </w:t>
      </w:r>
      <w:r w:rsidRPr="00F13914">
        <w:t xml:space="preserve">and </w:t>
      </w:r>
      <w:hyperlink r:id="rId9" w:history="1">
        <w:r w:rsidRPr="00F13914">
          <w:rPr>
            <w:rStyle w:val="Hyperlink"/>
          </w:rPr>
          <w:t>390</w:t>
        </w:r>
      </w:hyperlink>
      <w:r w:rsidRPr="00F13914">
        <w:t>–</w:t>
      </w:r>
      <w:hyperlink r:id="rId10" w:history="1">
        <w:r w:rsidRPr="00F13914">
          <w:rPr>
            <w:rStyle w:val="Hyperlink"/>
          </w:rPr>
          <w:t>399</w:t>
        </w:r>
      </w:hyperlink>
      <w:r w:rsidRPr="00F13914">
        <w:t xml:space="preserve">. However, they must comply with the drug and alcohol testing requirements in </w:t>
      </w:r>
      <w:hyperlink r:id="rId11" w:history="1">
        <w:r w:rsidRPr="00F13914">
          <w:rPr>
            <w:rStyle w:val="Hyperlink"/>
          </w:rPr>
          <w:t>part 382</w:t>
        </w:r>
      </w:hyperlink>
      <w:r w:rsidRPr="00F13914">
        <w:t xml:space="preserve"> and the CDL requirements in </w:t>
      </w:r>
      <w:hyperlink r:id="rId12" w:history="1">
        <w:r w:rsidRPr="00F13914">
          <w:rPr>
            <w:rStyle w:val="Hyperlink"/>
          </w:rPr>
          <w:t>part 383</w:t>
        </w:r>
      </w:hyperlink>
      <w:r w:rsidRPr="00F13914">
        <w:t xml:space="preserve">. </w:t>
      </w:r>
      <w:hyperlink r:id="rId13" w:history="1">
        <w:r w:rsidRPr="00F13914">
          <w:rPr>
            <w:rStyle w:val="Hyperlink"/>
          </w:rPr>
          <w:t>Parts 350</w:t>
        </w:r>
      </w:hyperlink>
      <w:r w:rsidRPr="00F13914">
        <w:t xml:space="preserve">, </w:t>
      </w:r>
      <w:hyperlink r:id="rId14" w:history="1">
        <w:r w:rsidRPr="00F13914">
          <w:rPr>
            <w:rStyle w:val="Hyperlink"/>
          </w:rPr>
          <w:t>355</w:t>
        </w:r>
      </w:hyperlink>
      <w:r w:rsidRPr="00F13914">
        <w:t xml:space="preserve">, </w:t>
      </w:r>
      <w:hyperlink r:id="rId15" w:history="1">
        <w:r w:rsidRPr="00F13914">
          <w:rPr>
            <w:rStyle w:val="Hyperlink"/>
          </w:rPr>
          <w:t>384</w:t>
        </w:r>
      </w:hyperlink>
      <w:r w:rsidRPr="00F13914">
        <w:t xml:space="preserve">, </w:t>
      </w:r>
      <w:hyperlink r:id="rId16" w:history="1">
        <w:r w:rsidRPr="00F13914">
          <w:rPr>
            <w:rStyle w:val="Hyperlink"/>
          </w:rPr>
          <w:t>386</w:t>
        </w:r>
      </w:hyperlink>
      <w:r w:rsidRPr="00F13914">
        <w:t xml:space="preserve">, </w:t>
      </w:r>
      <w:hyperlink r:id="rId17" w:history="1">
        <w:r w:rsidRPr="00F13914">
          <w:rPr>
            <w:rStyle w:val="Hyperlink"/>
          </w:rPr>
          <w:t>388</w:t>
        </w:r>
      </w:hyperlink>
      <w:r w:rsidRPr="00F13914">
        <w:t xml:space="preserve">, and </w:t>
      </w:r>
      <w:hyperlink r:id="rId18" w:history="1">
        <w:r w:rsidRPr="00F13914">
          <w:rPr>
            <w:rStyle w:val="Hyperlink"/>
          </w:rPr>
          <w:t>389</w:t>
        </w:r>
      </w:hyperlink>
      <w:r w:rsidRPr="00F13914">
        <w:t xml:space="preserve"> do not directly regulate CMV operators, public or private, and the question of an exemption therefore does not arise.</w:t>
      </w:r>
    </w:p>
    <w:bookmarkEnd w:id="0"/>
    <w:p w:rsidR="00C770A6" w:rsidRDefault="00C770A6"/>
    <w:sectPr w:rsidR="00C770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FBD"/>
    <w:rsid w:val="000A4FBD"/>
    <w:rsid w:val="00C77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620631-A00C-48A8-B84C-E5EF3941A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A4FB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A4F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/Users/ssharda/Desktop/2241" TargetMode="External"/><Relationship Id="rId13" Type="http://schemas.openxmlformats.org/officeDocument/2006/relationships/hyperlink" Target="file:///C:/Users/ssharda/Desktop/2241" TargetMode="External"/><Relationship Id="rId18" Type="http://schemas.openxmlformats.org/officeDocument/2006/relationships/hyperlink" Target="file:///C:/Users/ssharda/Desktop/224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C:/Users/ssharda/Desktop/2241" TargetMode="External"/><Relationship Id="rId12" Type="http://schemas.openxmlformats.org/officeDocument/2006/relationships/hyperlink" Target="file:///C:/Users/ssharda/Desktop/2241" TargetMode="External"/><Relationship Id="rId17" Type="http://schemas.openxmlformats.org/officeDocument/2006/relationships/hyperlink" Target="file:///C:/Users/ssharda/Desktop/2241" TargetMode="External"/><Relationship Id="rId2" Type="http://schemas.openxmlformats.org/officeDocument/2006/relationships/settings" Target="settings.xml"/><Relationship Id="rId16" Type="http://schemas.openxmlformats.org/officeDocument/2006/relationships/hyperlink" Target="file:///C:/Users/ssharda/Desktop/2241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file:///C:/Users/ssharda/Desktop/2241" TargetMode="External"/><Relationship Id="rId11" Type="http://schemas.openxmlformats.org/officeDocument/2006/relationships/hyperlink" Target="file:///C:/Users/ssharda/Desktop/2241" TargetMode="External"/><Relationship Id="rId5" Type="http://schemas.openxmlformats.org/officeDocument/2006/relationships/hyperlink" Target="file:///C:/Users/ssharda/Desktop/2241" TargetMode="External"/><Relationship Id="rId15" Type="http://schemas.openxmlformats.org/officeDocument/2006/relationships/hyperlink" Target="file:///C:/Users/ssharda/Desktop/2241" TargetMode="External"/><Relationship Id="rId10" Type="http://schemas.openxmlformats.org/officeDocument/2006/relationships/hyperlink" Target="file:///C:/Users/ssharda/Desktop/2241" TargetMode="External"/><Relationship Id="rId19" Type="http://schemas.openxmlformats.org/officeDocument/2006/relationships/fontTable" Target="fontTable.xml"/><Relationship Id="rId4" Type="http://schemas.openxmlformats.org/officeDocument/2006/relationships/hyperlink" Target="file:///C:/Users/ssharda/Desktop/2241" TargetMode="External"/><Relationship Id="rId9" Type="http://schemas.openxmlformats.org/officeDocument/2006/relationships/hyperlink" Target="file:///C:/Users/ssharda/Desktop/2241" TargetMode="External"/><Relationship Id="rId14" Type="http://schemas.openxmlformats.org/officeDocument/2006/relationships/hyperlink" Target="file:///C:/Users/ssharda/Desktop/224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Lawless, Sue (FMCSA)</dc:creator>
  <cp:keywords/>
  <dc:description/>
  <cp:lastModifiedBy>Lawless, Sue (FMCSA)</cp:lastModifiedBy>
  <cp:revision>1</cp:revision>
  <dcterms:created xsi:type="dcterms:W3CDTF">2020-08-28T19:38:00Z</dcterms:created>
  <dcterms:modified xsi:type="dcterms:W3CDTF">2020-08-28T19:40:00Z</dcterms:modified>
</cp:coreProperties>
</file>