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CC4D7" w14:textId="5442520F" w:rsidR="00BE7352" w:rsidRPr="006E5534" w:rsidRDefault="00BE7352" w:rsidP="00BE7352">
      <w:pPr>
        <w:rPr>
          <w:color w:val="FF0000"/>
          <w:sz w:val="22"/>
          <w:szCs w:val="22"/>
        </w:rPr>
      </w:pPr>
      <w:r w:rsidRPr="006E5534">
        <w:rPr>
          <w:color w:val="000000"/>
          <w:sz w:val="22"/>
          <w:szCs w:val="22"/>
        </w:rPr>
        <w:t>Editorial Category</w:t>
      </w:r>
      <w:r w:rsidRPr="006E5534">
        <w:rPr>
          <w:color w:val="FF0000"/>
          <w:sz w:val="22"/>
          <w:szCs w:val="22"/>
        </w:rPr>
        <w:t xml:space="preserve">:  </w:t>
      </w:r>
      <w:r w:rsidR="00E0425C" w:rsidRPr="006E5534">
        <w:rPr>
          <w:sz w:val="22"/>
          <w:szCs w:val="22"/>
        </w:rPr>
        <w:t>Consumer Protection</w:t>
      </w:r>
      <w:r w:rsidR="00A7031F" w:rsidRPr="006E5534">
        <w:rPr>
          <w:sz w:val="22"/>
          <w:szCs w:val="22"/>
        </w:rPr>
        <w:t xml:space="preserve"> </w:t>
      </w:r>
    </w:p>
    <w:p w14:paraId="3C58487E" w14:textId="6CA5ECE1" w:rsidR="00BE7352" w:rsidRPr="006E5534" w:rsidRDefault="00BE7352" w:rsidP="00BE7352">
      <w:pPr>
        <w:rPr>
          <w:color w:val="000000"/>
          <w:sz w:val="22"/>
          <w:szCs w:val="22"/>
        </w:rPr>
      </w:pPr>
      <w:r w:rsidRPr="006E5534">
        <w:rPr>
          <w:color w:val="000000"/>
          <w:sz w:val="22"/>
          <w:szCs w:val="22"/>
        </w:rPr>
        <w:t>Editorial Type</w:t>
      </w:r>
      <w:r w:rsidR="00A7031F" w:rsidRPr="006E5534">
        <w:rPr>
          <w:color w:val="000000"/>
          <w:sz w:val="22"/>
          <w:szCs w:val="22"/>
        </w:rPr>
        <w:t xml:space="preserve">:  </w:t>
      </w:r>
      <w:r w:rsidRPr="006E5534">
        <w:rPr>
          <w:color w:val="000000"/>
          <w:sz w:val="22"/>
          <w:szCs w:val="22"/>
        </w:rPr>
        <w:t xml:space="preserve">Significant Regulatory Guidance </w:t>
      </w:r>
    </w:p>
    <w:p w14:paraId="21E1E231" w14:textId="52818B61" w:rsidR="00BE7352" w:rsidRPr="006E5534" w:rsidRDefault="00BE7352" w:rsidP="00BE7352">
      <w:pPr>
        <w:rPr>
          <w:color w:val="000000"/>
          <w:sz w:val="22"/>
          <w:szCs w:val="22"/>
        </w:rPr>
      </w:pPr>
      <w:r w:rsidRPr="006E5534">
        <w:rPr>
          <w:color w:val="000000"/>
          <w:sz w:val="22"/>
          <w:szCs w:val="22"/>
        </w:rPr>
        <w:t xml:space="preserve">Unique Identifier:  </w:t>
      </w:r>
      <w:r w:rsidR="004277A6">
        <w:rPr>
          <w:color w:val="000000"/>
          <w:sz w:val="22"/>
          <w:szCs w:val="22"/>
        </w:rPr>
        <w:t>FMCSA-</w:t>
      </w:r>
      <w:r w:rsidR="00B56F0B">
        <w:rPr>
          <w:color w:val="000000"/>
          <w:sz w:val="22"/>
          <w:szCs w:val="22"/>
        </w:rPr>
        <w:t>HHG-375-Valuation and Insurance-Q001</w:t>
      </w:r>
    </w:p>
    <w:p w14:paraId="71AF3229" w14:textId="5E51C1A8" w:rsidR="00BE7352" w:rsidRPr="006E5534" w:rsidRDefault="00BE7352" w:rsidP="00BE7352">
      <w:pPr>
        <w:rPr>
          <w:color w:val="000000"/>
          <w:sz w:val="22"/>
          <w:szCs w:val="22"/>
        </w:rPr>
      </w:pPr>
      <w:r w:rsidRPr="006E5534">
        <w:rPr>
          <w:color w:val="000000"/>
          <w:sz w:val="22"/>
          <w:szCs w:val="22"/>
        </w:rPr>
        <w:t>Mode</w:t>
      </w:r>
      <w:r w:rsidR="00135E6C" w:rsidRPr="006E5534">
        <w:rPr>
          <w:color w:val="000000"/>
          <w:sz w:val="22"/>
          <w:szCs w:val="22"/>
        </w:rPr>
        <w:t>:</w:t>
      </w:r>
      <w:r w:rsidR="00135E6C" w:rsidRPr="006E5534">
        <w:rPr>
          <w:color w:val="000000"/>
          <w:sz w:val="22"/>
          <w:szCs w:val="22"/>
        </w:rPr>
        <w:tab/>
      </w:r>
      <w:r w:rsidR="00A7031F" w:rsidRPr="006E5534">
        <w:rPr>
          <w:sz w:val="22"/>
          <w:szCs w:val="22"/>
        </w:rPr>
        <w:t>Household Good</w:t>
      </w:r>
      <w:r w:rsidR="009A5462" w:rsidRPr="006E5534">
        <w:rPr>
          <w:sz w:val="22"/>
          <w:szCs w:val="22"/>
        </w:rPr>
        <w:t>s</w:t>
      </w:r>
    </w:p>
    <w:p w14:paraId="69245038" w14:textId="73392391" w:rsidR="00BE7352" w:rsidRPr="006E5534" w:rsidRDefault="00BE7352" w:rsidP="00BE7352">
      <w:pPr>
        <w:rPr>
          <w:color w:val="000000"/>
          <w:sz w:val="22"/>
          <w:szCs w:val="22"/>
        </w:rPr>
      </w:pPr>
      <w:r w:rsidRPr="006E5534">
        <w:rPr>
          <w:color w:val="000000"/>
          <w:sz w:val="22"/>
          <w:szCs w:val="22"/>
        </w:rPr>
        <w:t>Topic:</w:t>
      </w:r>
      <w:r w:rsidR="00135E6C" w:rsidRPr="006E5534">
        <w:rPr>
          <w:color w:val="000000"/>
          <w:sz w:val="22"/>
          <w:szCs w:val="22"/>
        </w:rPr>
        <w:t xml:space="preserve"> </w:t>
      </w:r>
      <w:r w:rsidR="00A7031F" w:rsidRPr="006E5534">
        <w:rPr>
          <w:color w:val="000000"/>
          <w:sz w:val="22"/>
          <w:szCs w:val="22"/>
        </w:rPr>
        <w:t xml:space="preserve">  </w:t>
      </w:r>
      <w:r w:rsidR="00B55974" w:rsidRPr="006E5534">
        <w:rPr>
          <w:color w:val="000000"/>
          <w:sz w:val="22"/>
          <w:szCs w:val="22"/>
        </w:rPr>
        <w:t>General</w:t>
      </w:r>
    </w:p>
    <w:p w14:paraId="312661F7" w14:textId="1603F7D1" w:rsidR="00BE7352" w:rsidRPr="006E5534" w:rsidRDefault="00BE7352" w:rsidP="00BE7352">
      <w:pPr>
        <w:rPr>
          <w:color w:val="000000"/>
          <w:sz w:val="22"/>
          <w:szCs w:val="22"/>
        </w:rPr>
      </w:pPr>
      <w:r w:rsidRPr="006E5534">
        <w:rPr>
          <w:color w:val="000000"/>
          <w:sz w:val="22"/>
          <w:szCs w:val="22"/>
        </w:rPr>
        <w:t>Subject:</w:t>
      </w:r>
      <w:r w:rsidR="00135E6C" w:rsidRPr="006E5534">
        <w:rPr>
          <w:color w:val="000000"/>
          <w:sz w:val="22"/>
          <w:szCs w:val="22"/>
        </w:rPr>
        <w:t xml:space="preserve"> </w:t>
      </w:r>
      <w:r w:rsidR="00A7031F" w:rsidRPr="006E5534">
        <w:rPr>
          <w:sz w:val="22"/>
          <w:szCs w:val="22"/>
        </w:rPr>
        <w:t>Consumer Protection</w:t>
      </w:r>
    </w:p>
    <w:p w14:paraId="2889109B" w14:textId="22C18CD4" w:rsidR="00BE7352" w:rsidRPr="006E5534" w:rsidRDefault="00BE7352" w:rsidP="00BE7352">
      <w:pPr>
        <w:rPr>
          <w:color w:val="FF0000"/>
          <w:sz w:val="22"/>
          <w:szCs w:val="22"/>
        </w:rPr>
      </w:pPr>
      <w:r w:rsidRPr="006E5534">
        <w:rPr>
          <w:color w:val="000000"/>
          <w:sz w:val="22"/>
          <w:szCs w:val="22"/>
        </w:rPr>
        <w:t>Keywords</w:t>
      </w:r>
      <w:r w:rsidR="00135E6C" w:rsidRPr="006E5534">
        <w:rPr>
          <w:color w:val="000000"/>
          <w:sz w:val="22"/>
          <w:szCs w:val="22"/>
        </w:rPr>
        <w:t xml:space="preserve">:  </w:t>
      </w:r>
      <w:r w:rsidR="00B56F0B">
        <w:rPr>
          <w:color w:val="000000"/>
          <w:sz w:val="22"/>
          <w:szCs w:val="22"/>
        </w:rPr>
        <w:t xml:space="preserve">375.201, 375.203, 375.303, </w:t>
      </w:r>
      <w:r w:rsidR="00E0425C" w:rsidRPr="006E5534">
        <w:rPr>
          <w:sz w:val="22"/>
          <w:szCs w:val="22"/>
        </w:rPr>
        <w:t>Moving Insurance, Moving Liability, Valuation</w:t>
      </w:r>
    </w:p>
    <w:p w14:paraId="2D4ED5EA" w14:textId="1F749038" w:rsidR="00BE7352" w:rsidRPr="006E5534" w:rsidRDefault="00BE7352" w:rsidP="00BE7352">
      <w:pPr>
        <w:rPr>
          <w:color w:val="FF0000"/>
          <w:sz w:val="22"/>
          <w:szCs w:val="22"/>
        </w:rPr>
      </w:pPr>
      <w:r w:rsidRPr="006E5534">
        <w:rPr>
          <w:color w:val="000000"/>
          <w:sz w:val="22"/>
          <w:szCs w:val="22"/>
        </w:rPr>
        <w:t>Tags:</w:t>
      </w:r>
      <w:r w:rsidR="00135E6C" w:rsidRPr="006E5534">
        <w:rPr>
          <w:color w:val="000000"/>
          <w:sz w:val="22"/>
          <w:szCs w:val="22"/>
        </w:rPr>
        <w:t xml:space="preserve">  </w:t>
      </w:r>
      <w:r w:rsidR="00B56F0B">
        <w:rPr>
          <w:color w:val="000000"/>
          <w:sz w:val="22"/>
          <w:szCs w:val="22"/>
        </w:rPr>
        <w:t>Part 375, Moving Household Goods</w:t>
      </w:r>
    </w:p>
    <w:p w14:paraId="4471300C" w14:textId="646B27F1" w:rsidR="00BE7352" w:rsidRPr="006E5534" w:rsidRDefault="00BE7352" w:rsidP="00BE7352">
      <w:pPr>
        <w:rPr>
          <w:color w:val="000000"/>
          <w:sz w:val="22"/>
          <w:szCs w:val="22"/>
        </w:rPr>
      </w:pPr>
      <w:r w:rsidRPr="006E5534">
        <w:rPr>
          <w:color w:val="000000"/>
          <w:sz w:val="22"/>
          <w:szCs w:val="22"/>
        </w:rPr>
        <w:t>Regulatory Topic:</w:t>
      </w:r>
      <w:r w:rsidR="00135E6C" w:rsidRPr="006E5534">
        <w:rPr>
          <w:color w:val="000000"/>
          <w:sz w:val="22"/>
          <w:szCs w:val="22"/>
        </w:rPr>
        <w:t xml:space="preserve">  </w:t>
      </w:r>
      <w:r w:rsidR="00563891">
        <w:rPr>
          <w:color w:val="000000"/>
          <w:sz w:val="22"/>
          <w:szCs w:val="22"/>
        </w:rPr>
        <w:t>Understanding Valuation and Insurance</w:t>
      </w:r>
    </w:p>
    <w:p w14:paraId="454D257C" w14:textId="77777777" w:rsidR="00BE7352" w:rsidRPr="006E5534" w:rsidRDefault="00BE7352" w:rsidP="00BE7352">
      <w:pPr>
        <w:rPr>
          <w:sz w:val="22"/>
          <w:szCs w:val="22"/>
        </w:rPr>
      </w:pPr>
    </w:p>
    <w:p w14:paraId="5624BEF6" w14:textId="7359B9AC" w:rsidR="00C07DBF" w:rsidRPr="006E5534" w:rsidRDefault="00445121" w:rsidP="00445121">
      <w:pPr>
        <w:pStyle w:val="Heading2"/>
        <w:rPr>
          <w:b w:val="0"/>
          <w:bCs w:val="0"/>
          <w:color w:val="000000"/>
          <w:sz w:val="22"/>
          <w:szCs w:val="22"/>
        </w:rPr>
      </w:pPr>
      <w:r w:rsidRPr="006E5534">
        <w:rPr>
          <w:color w:val="000000"/>
          <w:sz w:val="22"/>
          <w:szCs w:val="22"/>
        </w:rPr>
        <w:t>Guidance Q&amp;A</w:t>
      </w:r>
    </w:p>
    <w:p w14:paraId="5ABED76E" w14:textId="3860FA2B" w:rsidR="00C07DBF" w:rsidRPr="006E5534" w:rsidRDefault="00C07DBF" w:rsidP="00C07DBF">
      <w:pPr>
        <w:shd w:val="clear" w:color="auto" w:fill="FFFFFF"/>
        <w:spacing w:before="360" w:after="360"/>
        <w:rPr>
          <w:b/>
          <w:bCs/>
          <w:color w:val="000000"/>
          <w:sz w:val="22"/>
          <w:szCs w:val="22"/>
        </w:rPr>
      </w:pPr>
      <w:r w:rsidRPr="006E5534">
        <w:rPr>
          <w:b/>
          <w:bCs/>
          <w:color w:val="000000"/>
          <w:sz w:val="22"/>
          <w:szCs w:val="22"/>
        </w:rPr>
        <w:t xml:space="preserve">Question 1: </w:t>
      </w:r>
      <w:r w:rsidR="000F5E4A" w:rsidRPr="006E5534">
        <w:rPr>
          <w:b/>
          <w:bCs/>
          <w:color w:val="000000"/>
          <w:sz w:val="22"/>
          <w:szCs w:val="22"/>
        </w:rPr>
        <w:t xml:space="preserve"> </w:t>
      </w:r>
      <w:r w:rsidR="00E0425C" w:rsidRPr="006E5534">
        <w:rPr>
          <w:b/>
          <w:bCs/>
          <w:color w:val="000000"/>
          <w:sz w:val="22"/>
          <w:szCs w:val="22"/>
        </w:rPr>
        <w:t>What is Valuation and Insurance?</w:t>
      </w:r>
    </w:p>
    <w:p w14:paraId="665B7EA9" w14:textId="0AFD7AD2" w:rsidR="00C07DBF" w:rsidRPr="006E5534" w:rsidRDefault="00C07DBF" w:rsidP="00C07DBF">
      <w:pPr>
        <w:shd w:val="clear" w:color="auto" w:fill="FFFFFF"/>
        <w:spacing w:before="360" w:after="360"/>
        <w:rPr>
          <w:color w:val="000000"/>
          <w:sz w:val="22"/>
          <w:szCs w:val="22"/>
        </w:rPr>
      </w:pPr>
      <w:r w:rsidRPr="006E5534">
        <w:rPr>
          <w:b/>
          <w:bCs/>
          <w:color w:val="000000"/>
          <w:sz w:val="22"/>
          <w:szCs w:val="22"/>
        </w:rPr>
        <w:t>Guidance: </w:t>
      </w:r>
      <w:r w:rsidR="008D70FA">
        <w:rPr>
          <w:color w:val="000000"/>
          <w:sz w:val="22"/>
          <w:szCs w:val="22"/>
        </w:rPr>
        <w:t>Federal regulations</w:t>
      </w:r>
      <w:r w:rsidR="000F5E4A" w:rsidRPr="006E5534">
        <w:rPr>
          <w:color w:val="000000"/>
          <w:sz w:val="22"/>
          <w:szCs w:val="22"/>
        </w:rPr>
        <w:t xml:space="preserve"> </w:t>
      </w:r>
      <w:r w:rsidR="001D39BC" w:rsidRPr="006E5534">
        <w:rPr>
          <w:color w:val="000000"/>
          <w:sz w:val="22"/>
          <w:szCs w:val="22"/>
        </w:rPr>
        <w:t xml:space="preserve">require </w:t>
      </w:r>
      <w:r w:rsidR="00B348D7">
        <w:rPr>
          <w:color w:val="000000"/>
          <w:sz w:val="22"/>
          <w:szCs w:val="22"/>
        </w:rPr>
        <w:t xml:space="preserve">interstate </w:t>
      </w:r>
      <w:r w:rsidR="001D39BC" w:rsidRPr="006E5534">
        <w:rPr>
          <w:color w:val="000000"/>
          <w:sz w:val="22"/>
          <w:szCs w:val="22"/>
        </w:rPr>
        <w:t xml:space="preserve">household goods </w:t>
      </w:r>
      <w:r w:rsidR="00563891">
        <w:rPr>
          <w:color w:val="000000"/>
          <w:sz w:val="22"/>
          <w:szCs w:val="22"/>
        </w:rPr>
        <w:t>movers</w:t>
      </w:r>
      <w:r w:rsidR="001D39BC" w:rsidRPr="006E5534">
        <w:rPr>
          <w:color w:val="000000"/>
          <w:sz w:val="22"/>
          <w:szCs w:val="22"/>
        </w:rPr>
        <w:t xml:space="preserve"> to provide consumers</w:t>
      </w:r>
      <w:r w:rsidR="00B348D7">
        <w:rPr>
          <w:color w:val="000000"/>
          <w:sz w:val="22"/>
          <w:szCs w:val="22"/>
        </w:rPr>
        <w:t xml:space="preserve"> with</w:t>
      </w:r>
      <w:r w:rsidR="001D39BC" w:rsidRPr="006E5534">
        <w:rPr>
          <w:color w:val="000000"/>
          <w:sz w:val="22"/>
          <w:szCs w:val="22"/>
        </w:rPr>
        <w:t xml:space="preserve"> the options of Full Value Protection or Release Value </w:t>
      </w:r>
      <w:r w:rsidR="00B348D7">
        <w:rPr>
          <w:color w:val="000000"/>
          <w:sz w:val="22"/>
          <w:szCs w:val="22"/>
        </w:rPr>
        <w:t>for</w:t>
      </w:r>
      <w:r w:rsidR="00B348D7" w:rsidRPr="006E5534">
        <w:rPr>
          <w:color w:val="000000"/>
          <w:sz w:val="22"/>
          <w:szCs w:val="22"/>
        </w:rPr>
        <w:t xml:space="preserve"> </w:t>
      </w:r>
      <w:r w:rsidR="001D39BC" w:rsidRPr="006E5534">
        <w:rPr>
          <w:color w:val="000000"/>
          <w:sz w:val="22"/>
          <w:szCs w:val="22"/>
        </w:rPr>
        <w:t xml:space="preserve">liability </w:t>
      </w:r>
      <w:r w:rsidR="00B348D7">
        <w:rPr>
          <w:color w:val="000000"/>
          <w:sz w:val="22"/>
          <w:szCs w:val="22"/>
        </w:rPr>
        <w:t xml:space="preserve">for loss or damage </w:t>
      </w:r>
      <w:r w:rsidR="001D39BC" w:rsidRPr="006E5534">
        <w:rPr>
          <w:color w:val="000000"/>
          <w:sz w:val="22"/>
          <w:szCs w:val="22"/>
        </w:rPr>
        <w:t xml:space="preserve">on their shipments.  The mover may also offer to sell or obtain </w:t>
      </w:r>
      <w:r w:rsidR="00B348D7">
        <w:rPr>
          <w:color w:val="000000"/>
          <w:sz w:val="22"/>
          <w:szCs w:val="22"/>
        </w:rPr>
        <w:t>separate liability insurance coverage</w:t>
      </w:r>
      <w:r w:rsidR="001D39BC" w:rsidRPr="006E5534">
        <w:rPr>
          <w:color w:val="000000"/>
          <w:sz w:val="22"/>
          <w:szCs w:val="22"/>
        </w:rPr>
        <w:t xml:space="preserve"> for a consumer when they select Released Value.  T</w:t>
      </w:r>
      <w:r w:rsidR="00E0425C" w:rsidRPr="006E5534">
        <w:rPr>
          <w:color w:val="000000"/>
          <w:sz w:val="22"/>
          <w:szCs w:val="22"/>
        </w:rPr>
        <w:t>o assist consumers in understanding valuation and insurance</w:t>
      </w:r>
      <w:r w:rsidR="00B348D7">
        <w:rPr>
          <w:color w:val="000000"/>
          <w:sz w:val="22"/>
          <w:szCs w:val="22"/>
        </w:rPr>
        <w:t>,</w:t>
      </w:r>
      <w:r w:rsidR="00E0425C" w:rsidRPr="006E5534">
        <w:rPr>
          <w:color w:val="000000"/>
          <w:sz w:val="22"/>
          <w:szCs w:val="22"/>
        </w:rPr>
        <w:t xml:space="preserve"> </w:t>
      </w:r>
      <w:r w:rsidR="001D39BC" w:rsidRPr="006E5534">
        <w:rPr>
          <w:color w:val="000000"/>
          <w:sz w:val="22"/>
          <w:szCs w:val="22"/>
        </w:rPr>
        <w:t xml:space="preserve">FMCSA </w:t>
      </w:r>
      <w:r w:rsidR="00713EED">
        <w:rPr>
          <w:color w:val="000000"/>
          <w:sz w:val="22"/>
          <w:szCs w:val="22"/>
        </w:rPr>
        <w:t xml:space="preserve">provides a </w:t>
      </w:r>
      <w:r w:rsidR="001D39BC" w:rsidRPr="006E5534">
        <w:rPr>
          <w:color w:val="000000"/>
          <w:sz w:val="22"/>
          <w:szCs w:val="22"/>
        </w:rPr>
        <w:t xml:space="preserve">brochure </w:t>
      </w:r>
      <w:r w:rsidR="001D39BC" w:rsidRPr="006E5534">
        <w:rPr>
          <w:i/>
          <w:color w:val="000000"/>
          <w:sz w:val="22"/>
          <w:szCs w:val="22"/>
        </w:rPr>
        <w:t>Understand Valuation and Insurance Options</w:t>
      </w:r>
      <w:r w:rsidR="00B56F0B">
        <w:rPr>
          <w:color w:val="000000"/>
          <w:sz w:val="22"/>
          <w:szCs w:val="22"/>
        </w:rPr>
        <w:t xml:space="preserve"> </w:t>
      </w:r>
      <w:r w:rsidR="00B56F0B" w:rsidRPr="00713EED">
        <w:rPr>
          <w:sz w:val="22"/>
          <w:szCs w:val="22"/>
        </w:rPr>
        <w:t>(</w:t>
      </w:r>
      <w:r w:rsidR="00713EED" w:rsidRPr="00713EED">
        <w:t>https://www.fmcsa.dot.gov/protect-your-move/valuation-insurance</w:t>
      </w:r>
      <w:r w:rsidR="00B56F0B" w:rsidRPr="00713EED">
        <w:rPr>
          <w:sz w:val="22"/>
          <w:szCs w:val="22"/>
        </w:rPr>
        <w:t>)</w:t>
      </w:r>
    </w:p>
    <w:p w14:paraId="58385F66" w14:textId="466A12AA" w:rsidR="005930AA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i w:val="0"/>
          <w:color w:val="333333"/>
          <w:sz w:val="22"/>
          <w:szCs w:val="22"/>
        </w:rPr>
      </w:pPr>
      <w:r w:rsidRPr="006E5534">
        <w:rPr>
          <w:rFonts w:ascii="Times New Roman" w:hAnsi="Times New Roman" w:cs="Times New Roman"/>
          <w:i w:val="0"/>
          <w:color w:val="333333"/>
          <w:sz w:val="22"/>
          <w:szCs w:val="22"/>
        </w:rPr>
        <w:t>Effective Date</w:t>
      </w:r>
      <w:r w:rsidR="00563891">
        <w:rPr>
          <w:rFonts w:ascii="Times New Roman" w:hAnsi="Times New Roman" w:cs="Times New Roman"/>
          <w:i w:val="0"/>
          <w:color w:val="333333"/>
          <w:sz w:val="22"/>
          <w:szCs w:val="22"/>
        </w:rPr>
        <w:t xml:space="preserve">:  </w:t>
      </w:r>
      <w:r w:rsidR="00713EED">
        <w:rPr>
          <w:rFonts w:ascii="Times New Roman" w:hAnsi="Times New Roman" w:cs="Times New Roman"/>
          <w:i w:val="0"/>
          <w:color w:val="333333"/>
          <w:sz w:val="22"/>
          <w:szCs w:val="22"/>
        </w:rPr>
        <w:t>February 10, 2015</w:t>
      </w:r>
    </w:p>
    <w:p w14:paraId="3A858320" w14:textId="77777777" w:rsidR="00AC0600" w:rsidRPr="00097353" w:rsidRDefault="00AC0600" w:rsidP="00097353">
      <w:pPr>
        <w:rPr>
          <w:sz w:val="22"/>
          <w:szCs w:val="22"/>
        </w:rPr>
      </w:pPr>
    </w:p>
    <w:p w14:paraId="4FE6DA88" w14:textId="5AADD424" w:rsidR="00AC0600" w:rsidRDefault="005930AA" w:rsidP="00097353">
      <w:pPr>
        <w:rPr>
          <w:color w:val="333333"/>
          <w:sz w:val="22"/>
          <w:szCs w:val="22"/>
        </w:rPr>
      </w:pPr>
      <w:r w:rsidRPr="00097353">
        <w:rPr>
          <w:color w:val="333333"/>
          <w:sz w:val="22"/>
          <w:szCs w:val="22"/>
        </w:rPr>
        <w:t>Issued Date</w:t>
      </w:r>
      <w:r w:rsidR="00563891">
        <w:rPr>
          <w:color w:val="333333"/>
          <w:sz w:val="22"/>
          <w:szCs w:val="22"/>
        </w:rPr>
        <w:t xml:space="preserve">:  </w:t>
      </w:r>
      <w:r w:rsidR="00713EED">
        <w:rPr>
          <w:color w:val="333333"/>
          <w:sz w:val="22"/>
          <w:szCs w:val="22"/>
        </w:rPr>
        <w:t>February 10, 2015</w:t>
      </w:r>
    </w:p>
    <w:p w14:paraId="0FAE090A" w14:textId="229D6FB8" w:rsidR="00563891" w:rsidRDefault="00563891" w:rsidP="00097353">
      <w:pPr>
        <w:rPr>
          <w:color w:val="333333"/>
          <w:sz w:val="22"/>
          <w:szCs w:val="22"/>
        </w:rPr>
      </w:pPr>
    </w:p>
    <w:p w14:paraId="0CD3AA55" w14:textId="2F3A331B" w:rsidR="00563891" w:rsidRDefault="00563891" w:rsidP="00097353">
      <w:pPr>
        <w:rPr>
          <w:color w:val="333333"/>
          <w:sz w:val="22"/>
          <w:szCs w:val="22"/>
        </w:rPr>
      </w:pPr>
    </w:p>
    <w:p w14:paraId="66C75D6F" w14:textId="0958683C" w:rsidR="00563891" w:rsidRDefault="00563891" w:rsidP="00097353">
      <w:pPr>
        <w:rPr>
          <w:color w:val="333333"/>
          <w:sz w:val="22"/>
          <w:szCs w:val="22"/>
        </w:rPr>
      </w:pPr>
    </w:p>
    <w:p w14:paraId="1FA37168" w14:textId="77777777" w:rsidR="00563891" w:rsidRDefault="00563891" w:rsidP="00097353">
      <w:pPr>
        <w:rPr>
          <w:color w:val="333333"/>
          <w:sz w:val="22"/>
          <w:szCs w:val="22"/>
        </w:rPr>
      </w:pPr>
    </w:p>
    <w:tbl>
      <w:tblPr>
        <w:tblW w:w="94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4500"/>
        <w:gridCol w:w="236"/>
      </w:tblGrid>
      <w:tr w:rsidR="006E5534" w14:paraId="0C44A64E" w14:textId="77777777" w:rsidTr="00ED7EDD"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1DB4" w14:textId="77777777" w:rsidR="006E5534" w:rsidRPr="00392F9E" w:rsidRDefault="006E5534" w:rsidP="008D70FA">
            <w:pPr>
              <w:rPr>
                <w:color w:val="333333"/>
              </w:rPr>
            </w:pPr>
            <w:r w:rsidRPr="00392F9E">
              <w:rPr>
                <w:color w:val="333333"/>
              </w:rPr>
              <w:t>Program Review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34E4" w14:textId="5E4F464B" w:rsidR="006E5534" w:rsidRDefault="006E5534" w:rsidP="008D70F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Paul Bomgardner</w:t>
            </w:r>
          </w:p>
        </w:tc>
        <w:tc>
          <w:tcPr>
            <w:tcW w:w="4500" w:type="dxa"/>
          </w:tcPr>
          <w:p w14:paraId="2C28F901" w14:textId="77777777" w:rsidR="006E5534" w:rsidRDefault="006E5534" w:rsidP="008D70F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55D9A" w14:textId="77777777" w:rsidR="006E5534" w:rsidRDefault="006E5534" w:rsidP="008D70FA">
            <w:pPr>
              <w:rPr>
                <w:sz w:val="20"/>
                <w:szCs w:val="20"/>
              </w:rPr>
            </w:pPr>
          </w:p>
        </w:tc>
      </w:tr>
      <w:tr w:rsidR="006E5534" w14:paraId="3CF149AC" w14:textId="77777777" w:rsidTr="00ED7EDD"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AB25" w14:textId="77777777" w:rsidR="006E5534" w:rsidRPr="00392F9E" w:rsidRDefault="006E5534" w:rsidP="008D70FA">
            <w:pPr>
              <w:rPr>
                <w:color w:val="333333"/>
              </w:rPr>
            </w:pPr>
            <w:r w:rsidRPr="00392F9E">
              <w:rPr>
                <w:color w:val="333333"/>
              </w:rPr>
              <w:t>Legal Review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E75BF" w14:textId="40E0AC2C" w:rsidR="006E5534" w:rsidRPr="00392F9E" w:rsidRDefault="00B348D7" w:rsidP="008D70FA">
            <w:pPr>
              <w:rPr>
                <w:color w:val="333333"/>
              </w:rPr>
            </w:pPr>
            <w:r>
              <w:rPr>
                <w:color w:val="333333"/>
              </w:rPr>
              <w:t>Jedd Miloud 6.10.20</w:t>
            </w:r>
          </w:p>
        </w:tc>
        <w:tc>
          <w:tcPr>
            <w:tcW w:w="4500" w:type="dxa"/>
          </w:tcPr>
          <w:p w14:paraId="0067E8EC" w14:textId="6F443534" w:rsidR="006E5534" w:rsidRPr="00392F9E" w:rsidRDefault="00ED7EDD" w:rsidP="008D70FA">
            <w:pPr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 w:rsidR="0077498E">
              <w:rPr>
                <w:color w:val="333333"/>
              </w:rPr>
              <w:t xml:space="preserve">This brochure is available on </w:t>
            </w:r>
            <w:hyperlink r:id="rId6" w:history="1">
              <w:r w:rsidR="0077498E" w:rsidRPr="0077498E">
                <w:rPr>
                  <w:color w:val="0000FF"/>
                  <w:u w:val="single"/>
                </w:rPr>
                <w:t>https://www.fmcsa.dot.gov/protect-your-move</w:t>
              </w:r>
            </w:hyperlink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529E" w14:textId="10B45E66" w:rsidR="006E5534" w:rsidRPr="00392F9E" w:rsidRDefault="006E5534" w:rsidP="008D70FA">
            <w:pPr>
              <w:rPr>
                <w:color w:val="333333"/>
              </w:rPr>
            </w:pPr>
          </w:p>
        </w:tc>
      </w:tr>
      <w:tr w:rsidR="006E5534" w14:paraId="1D2C17C7" w14:textId="77777777" w:rsidTr="00ED7EDD"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41E49" w14:textId="77777777" w:rsidR="006E5534" w:rsidRPr="00392F9E" w:rsidRDefault="006E5534" w:rsidP="008D70FA">
            <w:pPr>
              <w:rPr>
                <w:color w:val="333333"/>
              </w:rPr>
            </w:pPr>
            <w:r w:rsidRPr="00392F9E">
              <w:rPr>
                <w:color w:val="333333"/>
              </w:rPr>
              <w:t>Modified from original guidance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5870D" w14:textId="77777777" w:rsidR="006E5534" w:rsidRDefault="00713EED" w:rsidP="008D70FA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JMiloud</w:t>
            </w:r>
            <w:proofErr w:type="spellEnd"/>
            <w:r>
              <w:rPr>
                <w:color w:val="333333"/>
              </w:rPr>
              <w:t xml:space="preserve"> edits for clarity</w:t>
            </w:r>
          </w:p>
          <w:p w14:paraId="262A7EFC" w14:textId="76C42AFF" w:rsidR="00713EED" w:rsidRPr="00473417" w:rsidRDefault="00713EED" w:rsidP="008D70FA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NJackson</w:t>
            </w:r>
            <w:proofErr w:type="spellEnd"/>
            <w:r>
              <w:rPr>
                <w:color w:val="333333"/>
              </w:rPr>
              <w:t xml:space="preserve"> – 1</w:t>
            </w:r>
            <w:r w:rsidRPr="00713EED">
              <w:rPr>
                <w:color w:val="333333"/>
                <w:vertAlign w:val="superscript"/>
              </w:rPr>
              <w:t>st</w:t>
            </w:r>
            <w:r>
              <w:rPr>
                <w:color w:val="333333"/>
              </w:rPr>
              <w:t xml:space="preserve"> paragraph duplicative – </w:t>
            </w:r>
            <w:proofErr w:type="spellStart"/>
            <w:r>
              <w:rPr>
                <w:color w:val="333333"/>
              </w:rPr>
              <w:t>M.Riddick</w:t>
            </w:r>
            <w:proofErr w:type="spellEnd"/>
            <w:r>
              <w:rPr>
                <w:color w:val="333333"/>
              </w:rPr>
              <w:t xml:space="preserve"> approved 6/25/2020</w:t>
            </w:r>
            <w:bookmarkStart w:id="0" w:name="_GoBack"/>
            <w:bookmarkEnd w:id="0"/>
          </w:p>
        </w:tc>
        <w:tc>
          <w:tcPr>
            <w:tcW w:w="4500" w:type="dxa"/>
          </w:tcPr>
          <w:p w14:paraId="47564052" w14:textId="77777777" w:rsidR="006E5534" w:rsidRDefault="006E5534" w:rsidP="008D70F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5B29" w14:textId="77777777" w:rsidR="006E5534" w:rsidRDefault="006E5534" w:rsidP="008D70F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6E5534" w14:paraId="3089C184" w14:textId="77777777" w:rsidTr="00ED7EDD"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E5A4" w14:textId="77777777" w:rsidR="006E5534" w:rsidRPr="00392F9E" w:rsidRDefault="006E5534" w:rsidP="008D70FA">
            <w:pPr>
              <w:rPr>
                <w:color w:val="333333"/>
              </w:rPr>
            </w:pPr>
            <w:r w:rsidRPr="00392F9E">
              <w:rPr>
                <w:color w:val="333333"/>
              </w:rPr>
              <w:t>Other information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8ED4" w14:textId="77777777" w:rsidR="006E5534" w:rsidRDefault="006E5534" w:rsidP="008D70F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EAA5B72" w14:textId="77777777" w:rsidR="006E5534" w:rsidRDefault="006E5534" w:rsidP="008D70F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E4A0" w14:textId="77777777" w:rsidR="006E5534" w:rsidRDefault="006E5534" w:rsidP="008D70F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6E5534" w14:paraId="353EF7C5" w14:textId="77777777" w:rsidTr="00ED7EDD"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B44E" w14:textId="77777777" w:rsidR="006E5534" w:rsidRDefault="006E5534" w:rsidP="008D70F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D587" w14:textId="77777777" w:rsidR="006E5534" w:rsidRDefault="006E5534" w:rsidP="008D70F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D525091" w14:textId="77777777" w:rsidR="006E5534" w:rsidRDefault="006E5534" w:rsidP="008D70F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B12E" w14:textId="77777777" w:rsidR="006E5534" w:rsidRDefault="006E5534" w:rsidP="008D70F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4BB41409" w14:textId="77777777" w:rsidR="006E5534" w:rsidRPr="000C72B9" w:rsidRDefault="006E5534" w:rsidP="006E5534"/>
    <w:p w14:paraId="18153D49" w14:textId="77777777" w:rsidR="006E5534" w:rsidRPr="00097353" w:rsidRDefault="006E5534" w:rsidP="00097353">
      <w:pPr>
        <w:rPr>
          <w:color w:val="333333"/>
          <w:sz w:val="22"/>
          <w:szCs w:val="22"/>
        </w:rPr>
      </w:pPr>
    </w:p>
    <w:sectPr w:rsidR="006E5534" w:rsidRPr="0009735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97353"/>
    <w:rsid w:val="000F5E4A"/>
    <w:rsid w:val="00135E6C"/>
    <w:rsid w:val="00142B60"/>
    <w:rsid w:val="001552B5"/>
    <w:rsid w:val="00186934"/>
    <w:rsid w:val="001C1FFE"/>
    <w:rsid w:val="001D39BC"/>
    <w:rsid w:val="00276228"/>
    <w:rsid w:val="00283A70"/>
    <w:rsid w:val="002D2D7E"/>
    <w:rsid w:val="002D5D65"/>
    <w:rsid w:val="00363D71"/>
    <w:rsid w:val="0040553F"/>
    <w:rsid w:val="004277A6"/>
    <w:rsid w:val="00445121"/>
    <w:rsid w:val="00527088"/>
    <w:rsid w:val="00563891"/>
    <w:rsid w:val="005930AA"/>
    <w:rsid w:val="00630A76"/>
    <w:rsid w:val="0067786F"/>
    <w:rsid w:val="006D2A82"/>
    <w:rsid w:val="006E1961"/>
    <w:rsid w:val="006E5534"/>
    <w:rsid w:val="006E6944"/>
    <w:rsid w:val="00713EED"/>
    <w:rsid w:val="0077498E"/>
    <w:rsid w:val="007C4427"/>
    <w:rsid w:val="008B5CE4"/>
    <w:rsid w:val="008D70FA"/>
    <w:rsid w:val="009304DE"/>
    <w:rsid w:val="00953229"/>
    <w:rsid w:val="009A5462"/>
    <w:rsid w:val="00A67BDC"/>
    <w:rsid w:val="00A7031F"/>
    <w:rsid w:val="00A93F24"/>
    <w:rsid w:val="00AC0600"/>
    <w:rsid w:val="00AF1165"/>
    <w:rsid w:val="00B348D7"/>
    <w:rsid w:val="00B55974"/>
    <w:rsid w:val="00B56F0B"/>
    <w:rsid w:val="00BE7352"/>
    <w:rsid w:val="00C07DBF"/>
    <w:rsid w:val="00C472AF"/>
    <w:rsid w:val="00D45D95"/>
    <w:rsid w:val="00E0425C"/>
    <w:rsid w:val="00EB1625"/>
    <w:rsid w:val="00ED7EDD"/>
    <w:rsid w:val="00EE094B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88"/>
    <w:rPr>
      <w:rFonts w:ascii="Segoe UI" w:eastAsia="Times New Roman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1552B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mcsa.dot.gov/protect-your-mo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4116-A69C-4906-8F94-AD7157E5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Jackson, Nancy (FMCSA)</cp:lastModifiedBy>
  <cp:revision>4</cp:revision>
  <cp:lastPrinted>2020-02-13T22:32:00Z</cp:lastPrinted>
  <dcterms:created xsi:type="dcterms:W3CDTF">2020-06-25T06:00:00Z</dcterms:created>
  <dcterms:modified xsi:type="dcterms:W3CDTF">2020-06-25T17:22:00Z</dcterms:modified>
</cp:coreProperties>
</file>