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9DD4C0B" w:rsidR="0067786F" w:rsidRPr="00BE7352" w:rsidRDefault="00DE7A43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396.3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Inspection, repair and maintenance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7C31D9F9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B93A4D">
        <w:rPr>
          <w:rFonts w:ascii="Verdana" w:hAnsi="Verdana"/>
          <w:b/>
          <w:bCs/>
          <w:color w:val="000000"/>
          <w:sz w:val="20"/>
          <w:szCs w:val="20"/>
        </w:rPr>
        <w:t>4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B93A4D" w:rsidRPr="00B93A4D">
        <w:rPr>
          <w:rFonts w:ascii="Verdana" w:hAnsi="Verdana"/>
          <w:b/>
          <w:bCs/>
          <w:color w:val="000000"/>
          <w:sz w:val="20"/>
          <w:szCs w:val="20"/>
        </w:rPr>
        <w:t>Is computerized recordkeeping of CMV inspection and maintenance information permissible under §</w:t>
      </w:r>
      <w:r w:rsidR="00B93A4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93A4D" w:rsidRPr="00B93A4D">
        <w:rPr>
          <w:rFonts w:ascii="Verdana" w:hAnsi="Verdana"/>
          <w:b/>
          <w:bCs/>
          <w:color w:val="000000"/>
          <w:sz w:val="20"/>
          <w:szCs w:val="20"/>
        </w:rPr>
        <w:t>396.3 of the FMCSRs?</w:t>
      </w:r>
    </w:p>
    <w:p w14:paraId="439427D6" w14:textId="5FA947BC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B93A4D" w:rsidRPr="00B93A4D">
        <w:rPr>
          <w:rFonts w:ascii="Verdana" w:hAnsi="Verdana"/>
          <w:bCs/>
          <w:color w:val="000000"/>
          <w:sz w:val="20"/>
          <w:szCs w:val="20"/>
        </w:rPr>
        <w:t>Yes, if the minimum inspection, repair, and maintenance records required are included in the computer information system and can be reproduced on demand.</w:t>
      </w:r>
      <w:bookmarkStart w:id="0" w:name="_GoBack"/>
      <w:bookmarkEnd w:id="0"/>
    </w:p>
    <w:sectPr w:rsidR="00737D9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43E5"/>
    <w:rsid w:val="00325174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62315F"/>
    <w:rsid w:val="00630A76"/>
    <w:rsid w:val="00661F36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2BBA"/>
    <w:rsid w:val="008234B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3DD6"/>
    <w:rsid w:val="00A3556B"/>
    <w:rsid w:val="00A93F24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2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A5C1-3C93-4EDE-866D-20752226977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736B5C-86D1-4DBB-AFA1-C57A4801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2AF9C-1EE2-4C0D-A8F4-165A95687A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C8FE7-75E1-4E70-9201-687FF409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2020-02-26T21:03:00Z</dcterms:created>
  <dcterms:modified xsi:type="dcterms:W3CDTF">2020-02-26T21:03:00Z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