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Below are the available interpretations for the given section. To return to the list of parts, use the Parts link above. The menu to the left provides a full list of sections that have </w:t>
      </w:r>
      <w:bookmarkStart w:id="0" w:name="_GoBack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bookmarkEnd w:id="0"/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55CA19FD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016FA6">
        <w:rPr>
          <w:rFonts w:ascii="Verdana" w:hAnsi="Verdana"/>
          <w:b/>
          <w:bCs/>
          <w:color w:val="000000"/>
          <w:sz w:val="20"/>
          <w:szCs w:val="20"/>
        </w:rPr>
        <w:t>18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0D62F3" w:rsidRPr="000D62F3">
        <w:rPr>
          <w:rFonts w:ascii="Verdana" w:hAnsi="Verdana"/>
          <w:b/>
          <w:bCs/>
          <w:color w:val="000000"/>
          <w:sz w:val="20"/>
          <w:szCs w:val="20"/>
        </w:rPr>
        <w:t>Where must DVIRs be maintained?</w:t>
      </w:r>
    </w:p>
    <w:p w14:paraId="47281A2D" w14:textId="1C5A3A5F" w:rsidR="00126C32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466FE" w:rsidRPr="008466FE">
        <w:rPr>
          <w:rFonts w:ascii="Verdana" w:hAnsi="Verdana"/>
          <w:bCs/>
          <w:color w:val="000000"/>
          <w:sz w:val="20"/>
          <w:szCs w:val="20"/>
        </w:rPr>
        <w:t>Since §</w:t>
      </w:r>
      <w:r w:rsidR="008466F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466FE" w:rsidRPr="008466FE">
        <w:rPr>
          <w:rFonts w:ascii="Verdana" w:hAnsi="Verdana"/>
          <w:bCs/>
          <w:color w:val="000000"/>
          <w:sz w:val="20"/>
          <w:szCs w:val="20"/>
        </w:rPr>
        <w:t>396.11 is not specific, the DVIRs may be kept at either the motor carrier’s principal place of business or the location where the vehicle is housed or maintained.</w:t>
      </w:r>
    </w:p>
    <w:sectPr w:rsidR="00126C3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16FA6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44CCC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37E9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8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19C3-ABF2-4E3E-A1E8-163CFC6F1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02F7-C915-4C66-898F-B44D9B089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B69B0-F345-4E53-B43D-1344C7277C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8779C2-7F75-4688-9F85-11EB1C0F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2020-02-26T14:42:00Z</dcterms:created>
  <dcterms:modified xsi:type="dcterms:W3CDTF">2020-02-26T14:42:00Z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