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8290" w14:textId="77777777" w:rsidR="00F562B5" w:rsidRPr="009B7CF3" w:rsidRDefault="00F562B5" w:rsidP="00F562B5">
      <w:pPr>
        <w:rPr>
          <w:rFonts w:ascii="Verdana" w:hAnsi="Verdana" w:cs="Calibri"/>
          <w:color w:val="000000"/>
          <w:sz w:val="20"/>
          <w:szCs w:val="20"/>
        </w:rPr>
      </w:pPr>
      <w:r w:rsidRPr="009B7CF3">
        <w:rPr>
          <w:rFonts w:ascii="Verdana" w:hAnsi="Verdana" w:cs="Calibri"/>
          <w:color w:val="000000"/>
          <w:sz w:val="20"/>
          <w:szCs w:val="20"/>
        </w:rPr>
        <w:t>Guidance on the requirement for transferee start to take disqualification action for conviction for which originating state did not disqualify driver</w:t>
      </w:r>
    </w:p>
    <w:p w14:paraId="6748A7DA" w14:textId="77777777" w:rsidR="00F562B5" w:rsidRPr="00762A89" w:rsidRDefault="00F562B5" w:rsidP="00F562B5">
      <w:pPr>
        <w:spacing w:before="277" w:after="277" w:line="240" w:lineRule="auto"/>
        <w:outlineLvl w:val="1"/>
        <w:rPr>
          <w:rFonts w:ascii="Verdana" w:eastAsia="Times New Roman" w:hAnsi="Verdana" w:cs="Times New Roman"/>
          <w:b/>
          <w:bCs/>
          <w:sz w:val="31"/>
          <w:szCs w:val="31"/>
          <w:lang w:val="en"/>
        </w:rPr>
      </w:pPr>
      <w:r w:rsidRPr="00762A89">
        <w:rPr>
          <w:rFonts w:ascii="Verdana" w:eastAsia="Times New Roman" w:hAnsi="Verdana" w:cs="Times New Roman"/>
          <w:b/>
          <w:bCs/>
          <w:sz w:val="31"/>
          <w:szCs w:val="31"/>
          <w:lang w:val="en"/>
        </w:rPr>
        <w:t xml:space="preserve">Section § 384.231: Satisfaction of State disqualification requirement. </w:t>
      </w:r>
    </w:p>
    <w:p w14:paraId="695C325B" w14:textId="77777777" w:rsidR="00F562B5" w:rsidRPr="00762A89" w:rsidRDefault="00F562B5" w:rsidP="00F562B5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762A89">
        <w:rPr>
          <w:rFonts w:ascii="Verdana" w:hAnsi="Verdana"/>
          <w:color w:val="000000"/>
        </w:rPr>
        <w:t>Guidance Q&amp;A</w:t>
      </w:r>
    </w:p>
    <w:p w14:paraId="1104B6EF" w14:textId="77777777" w:rsidR="00F562B5" w:rsidRDefault="00F562B5" w:rsidP="00F562B5">
      <w:pPr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Question 1: When accepting an applicant transferring from another State whose record reveals a disqualifying conviction for which the originating State did not take a disqualifying action, is the transferee State required to take the disqualifying action?</w:t>
      </w:r>
    </w:p>
    <w:p w14:paraId="7CEABB8C" w14:textId="77777777" w:rsidR="00F562B5" w:rsidRDefault="00F562B5" w:rsidP="00F562B5">
      <w:pPr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Guidance: Yes. Section 384.206(b)(1) requires a State, including a transferee State, to check the applicant's driving record for the past 10 years in every State where he/she was licensed. If adverse information is discovered, § 384.206(b)(3) requires a State, including a transferee State, to “promptly implement the disqualifications . . . that are called for in any applicable section(s) of this subpart.” </w:t>
      </w:r>
      <w:r w:rsidRPr="009B7CF3">
        <w:rPr>
          <w:rFonts w:ascii="Arial" w:hAnsi="Arial" w:cs="Arial"/>
          <w:color w:val="212121"/>
          <w:sz w:val="21"/>
          <w:szCs w:val="21"/>
        </w:rPr>
        <w:t>Section 384.231(a)</w:t>
      </w:r>
      <w:r>
        <w:rPr>
          <w:rFonts w:ascii="Arial" w:hAnsi="Arial" w:cs="Arial"/>
          <w:color w:val="212121"/>
          <w:sz w:val="21"/>
          <w:szCs w:val="21"/>
        </w:rPr>
        <w:t> makes the requirements of § 384.206(b) applicable to the “State of licensure”—which includes a transferee State under </w:t>
      </w:r>
      <w:r w:rsidRPr="009B7CF3">
        <w:rPr>
          <w:rFonts w:ascii="Arial" w:hAnsi="Arial" w:cs="Arial"/>
          <w:color w:val="212121"/>
          <w:sz w:val="21"/>
          <w:szCs w:val="21"/>
        </w:rPr>
        <w:t>§§ 384.206(b)(1)</w:t>
      </w:r>
      <w:r>
        <w:rPr>
          <w:rFonts w:ascii="Arial" w:hAnsi="Arial" w:cs="Arial"/>
          <w:color w:val="212121"/>
          <w:sz w:val="21"/>
          <w:szCs w:val="21"/>
        </w:rPr>
        <w:t> and </w:t>
      </w:r>
      <w:r w:rsidRPr="009B7CF3">
        <w:rPr>
          <w:rFonts w:ascii="Arial" w:hAnsi="Arial" w:cs="Arial"/>
          <w:color w:val="212121"/>
          <w:sz w:val="21"/>
          <w:szCs w:val="21"/>
        </w:rPr>
        <w:t>384.231(b)</w:t>
      </w:r>
      <w:r>
        <w:rPr>
          <w:rFonts w:ascii="Arial" w:hAnsi="Arial" w:cs="Arial"/>
          <w:color w:val="212121"/>
          <w:sz w:val="21"/>
          <w:szCs w:val="21"/>
        </w:rPr>
        <w:t> then requires disqualifying action against a CDL holder who has been convicted of a disqualifying offense committed after the Federal compliance date for disqualification for that offense, but has not yet served the disqualification.</w:t>
      </w:r>
    </w:p>
    <w:p w14:paraId="46A602C5" w14:textId="77777777" w:rsidR="00F80AC8" w:rsidRPr="00F562B5" w:rsidRDefault="00F80AC8" w:rsidP="00F562B5"/>
    <w:sectPr w:rsidR="00F80AC8" w:rsidRPr="00F56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336C6"/>
    <w:multiLevelType w:val="multilevel"/>
    <w:tmpl w:val="1F4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2"/>
    <w:rsid w:val="00192488"/>
    <w:rsid w:val="00582502"/>
    <w:rsid w:val="00762A89"/>
    <w:rsid w:val="007C7DAE"/>
    <w:rsid w:val="008B626D"/>
    <w:rsid w:val="009B7CF3"/>
    <w:rsid w:val="009E4BDF"/>
    <w:rsid w:val="00A5373F"/>
    <w:rsid w:val="00A74D12"/>
    <w:rsid w:val="00C54F01"/>
    <w:rsid w:val="00CF3454"/>
    <w:rsid w:val="00D6164B"/>
    <w:rsid w:val="00EC3466"/>
    <w:rsid w:val="00F562B5"/>
    <w:rsid w:val="00F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95FF"/>
  <w15:chartTrackingRefBased/>
  <w15:docId w15:val="{04B95344-0319-4B35-8360-0A75D3ED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2502"/>
    <w:pPr>
      <w:spacing w:before="277" w:after="277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CF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2502"/>
    <w:rPr>
      <w:rFonts w:ascii="Times New Roman" w:eastAsia="Times New Roman" w:hAnsi="Times New Roman" w:cs="Times New Roman"/>
      <w:b/>
      <w:bCs/>
      <w:sz w:val="31"/>
      <w:szCs w:val="31"/>
    </w:rPr>
  </w:style>
  <w:style w:type="character" w:styleId="Hyperlink">
    <w:name w:val="Hyperlink"/>
    <w:basedOn w:val="DefaultParagraphFont"/>
    <w:uiPriority w:val="99"/>
    <w:semiHidden/>
    <w:unhideWhenUsed/>
    <w:rsid w:val="00582502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82502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set-legend">
    <w:name w:val="fieldset-legend"/>
    <w:basedOn w:val="DefaultParagraphFont"/>
    <w:rsid w:val="007C7DAE"/>
  </w:style>
  <w:style w:type="table" w:styleId="TableGrid">
    <w:name w:val="Table Grid"/>
    <w:basedOn w:val="TableNormal"/>
    <w:uiPriority w:val="39"/>
    <w:rsid w:val="00F80A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C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996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4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8023B-48A2-44E4-8B36-8A8761264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7F998-5FEF-406A-AC34-9EC88ABA5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2F42A-AD4F-478F-8D25-B4B2B7AE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Alleman, Rosalyn CTR (FMCSA)</dc:creator>
  <cp:keywords/>
  <dc:description/>
  <cp:lastModifiedBy>Erb, Martin (FMCSA)</cp:lastModifiedBy>
  <cp:revision>6</cp:revision>
  <dcterms:created xsi:type="dcterms:W3CDTF">2020-02-16T20:21:00Z</dcterms:created>
  <dcterms:modified xsi:type="dcterms:W3CDTF">2020-02-23T18:43:00Z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