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AD" w:rsidRPr="00984224" w:rsidRDefault="008F7AAD" w:rsidP="008F7AAD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7:  </w:t>
      </w:r>
      <w:r w:rsidRPr="00984224">
        <w:rPr>
          <w:rFonts w:ascii="Calibri" w:hAnsi="Calibri" w:cs="Calibri"/>
          <w:color w:val="000000"/>
          <w:sz w:val="28"/>
          <w:szCs w:val="28"/>
        </w:rPr>
        <w:t>Are government entities covered under the Hazardous Materials Safety Permit Regulations?</w:t>
      </w:r>
    </w:p>
    <w:p w:rsidR="008F7AAD" w:rsidRDefault="008F7AAD" w:rsidP="008F7AAD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</w:t>
      </w:r>
      <w:r w:rsidRPr="004E6DDB">
        <w:rPr>
          <w:rFonts w:ascii="Calibri" w:hAnsi="Calibri" w:cs="Calibri"/>
          <w:color w:val="000000"/>
        </w:rPr>
        <w:t>No. Government entities do not fall under the definition of a motor carrier. Private contractors working for a government entity are considered motor carriers and are covered by the HM Safety Permit regulations.</w:t>
      </w:r>
    </w:p>
    <w:p w:rsidR="004E6DDB" w:rsidRPr="008F7AAD" w:rsidRDefault="004E6DDB" w:rsidP="008F7AAD">
      <w:bookmarkStart w:id="0" w:name="_GoBack"/>
      <w:bookmarkEnd w:id="0"/>
    </w:p>
    <w:sectPr w:rsidR="004E6DDB" w:rsidRPr="008F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1B"/>
    <w:rsid w:val="0015417D"/>
    <w:rsid w:val="00154B27"/>
    <w:rsid w:val="002277EF"/>
    <w:rsid w:val="00303B66"/>
    <w:rsid w:val="003D5B39"/>
    <w:rsid w:val="00451476"/>
    <w:rsid w:val="004E6DDB"/>
    <w:rsid w:val="007D154E"/>
    <w:rsid w:val="008F7AAD"/>
    <w:rsid w:val="0093179A"/>
    <w:rsid w:val="00984224"/>
    <w:rsid w:val="00A4784A"/>
    <w:rsid w:val="00A8797F"/>
    <w:rsid w:val="00B82C1B"/>
    <w:rsid w:val="00CA0BB3"/>
    <w:rsid w:val="00DA530C"/>
    <w:rsid w:val="00E87099"/>
    <w:rsid w:val="00EE569C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D10B8-AE7C-48D9-A8A4-D511D34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D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E6D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E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6EB40-8AE2-4442-B1A4-DB8C2DE7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BE746-F2E9-4D11-BAAB-E9CC891E4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66D34-28C8-4584-BC17-E46391F48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9</cp:revision>
  <dcterms:created xsi:type="dcterms:W3CDTF">2020-02-17T06:53:00Z</dcterms:created>
  <dcterms:modified xsi:type="dcterms:W3CDTF">2020-02-25T14:27:00Z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