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AB" w:rsidRPr="001163A0" w:rsidRDefault="000B75AB" w:rsidP="000B75AB">
      <w:pPr>
        <w:rPr>
          <w:b/>
          <w:bCs/>
          <w:sz w:val="28"/>
          <w:szCs w:val="28"/>
        </w:rPr>
      </w:pPr>
      <w:r w:rsidRPr="001163A0">
        <w:rPr>
          <w:b/>
          <w:bCs/>
          <w:sz w:val="28"/>
          <w:szCs w:val="28"/>
        </w:rPr>
        <w:t>Advisory: Declaring the Transportation of Anhydrous</w:t>
      </w:r>
      <w:r>
        <w:rPr>
          <w:b/>
          <w:bCs/>
          <w:sz w:val="28"/>
          <w:szCs w:val="28"/>
        </w:rPr>
        <w:t xml:space="preserve"> </w:t>
      </w:r>
      <w:r w:rsidRPr="001163A0">
        <w:rPr>
          <w:b/>
          <w:bCs/>
          <w:sz w:val="28"/>
          <w:szCs w:val="28"/>
        </w:rPr>
        <w:t>Ammonia and Class 3, Flammable Liquids When Filing</w:t>
      </w:r>
      <w:r>
        <w:rPr>
          <w:b/>
          <w:bCs/>
          <w:sz w:val="28"/>
          <w:szCs w:val="28"/>
        </w:rPr>
        <w:t xml:space="preserve"> </w:t>
      </w:r>
      <w:r w:rsidRPr="001163A0">
        <w:rPr>
          <w:b/>
          <w:bCs/>
          <w:sz w:val="28"/>
          <w:szCs w:val="28"/>
        </w:rPr>
        <w:t>FMCSA Registration.</w:t>
      </w:r>
    </w:p>
    <w:p w:rsidR="000B75AB" w:rsidRPr="001163A0" w:rsidRDefault="000B75AB" w:rsidP="000B75AB">
      <w:pPr>
        <w:rPr>
          <w:b/>
          <w:bCs/>
          <w:sz w:val="28"/>
          <w:szCs w:val="28"/>
        </w:rPr>
      </w:pPr>
      <w:r w:rsidRPr="001163A0">
        <w:rPr>
          <w:b/>
          <w:bCs/>
          <w:sz w:val="28"/>
          <w:szCs w:val="28"/>
        </w:rPr>
        <w:t>Issue:</w:t>
      </w:r>
    </w:p>
    <w:p w:rsidR="000B75AB" w:rsidRPr="0005473C" w:rsidRDefault="000B75AB" w:rsidP="000B75AB">
      <w:pPr>
        <w:rPr>
          <w:bCs/>
          <w:sz w:val="28"/>
          <w:szCs w:val="28"/>
        </w:rPr>
      </w:pPr>
      <w:r w:rsidRPr="0005473C">
        <w:rPr>
          <w:bCs/>
          <w:sz w:val="28"/>
          <w:szCs w:val="28"/>
        </w:rPr>
        <w:t>The Federal Motor Carrier Safety Administration (FMCSA) of the United States</w:t>
      </w:r>
    </w:p>
    <w:p w:rsidR="000B75AB" w:rsidRPr="0005473C" w:rsidRDefault="000B75AB" w:rsidP="000B75AB">
      <w:pPr>
        <w:rPr>
          <w:bCs/>
          <w:sz w:val="28"/>
          <w:szCs w:val="28"/>
        </w:rPr>
      </w:pPr>
      <w:r w:rsidRPr="0005473C">
        <w:rPr>
          <w:bCs/>
          <w:sz w:val="28"/>
          <w:szCs w:val="28"/>
        </w:rPr>
        <w:t>Department of Transportation (USDOT) is issuing this notification to advise the</w:t>
      </w:r>
    </w:p>
    <w:p w:rsidR="000B75AB" w:rsidRPr="0005473C" w:rsidRDefault="000B75AB" w:rsidP="000B75AB">
      <w:pPr>
        <w:rPr>
          <w:bCs/>
          <w:sz w:val="28"/>
          <w:szCs w:val="28"/>
        </w:rPr>
      </w:pPr>
      <w:r w:rsidRPr="0005473C">
        <w:rPr>
          <w:bCs/>
          <w:sz w:val="28"/>
          <w:szCs w:val="28"/>
        </w:rPr>
        <w:t>motor carrier industry of the discontinued use of the fields on FMCSA</w:t>
      </w:r>
    </w:p>
    <w:p w:rsidR="000B75AB" w:rsidRPr="0005473C" w:rsidRDefault="000B75AB" w:rsidP="000B75AB">
      <w:pPr>
        <w:rPr>
          <w:bCs/>
          <w:sz w:val="28"/>
          <w:szCs w:val="28"/>
        </w:rPr>
      </w:pPr>
      <w:r w:rsidRPr="0005473C">
        <w:rPr>
          <w:bCs/>
          <w:sz w:val="28"/>
          <w:szCs w:val="28"/>
        </w:rPr>
        <w:t>registration forms that refer to Division 2.2 anhydrous ammonia, Class 3A and</w:t>
      </w:r>
    </w:p>
    <w:p w:rsidR="000B75AB" w:rsidRPr="0005473C" w:rsidRDefault="000B75AB" w:rsidP="000B75AB">
      <w:pPr>
        <w:rPr>
          <w:bCs/>
          <w:sz w:val="28"/>
          <w:szCs w:val="28"/>
        </w:rPr>
      </w:pPr>
      <w:r w:rsidRPr="0005473C">
        <w:rPr>
          <w:bCs/>
          <w:sz w:val="28"/>
          <w:szCs w:val="28"/>
        </w:rPr>
        <w:t>Class 3B. These entries are no longer relevant due to the Federal Hazardous</w:t>
      </w:r>
    </w:p>
    <w:p w:rsidR="000B75AB" w:rsidRPr="0005473C" w:rsidRDefault="000B75AB" w:rsidP="000B75AB">
      <w:pPr>
        <w:rPr>
          <w:bCs/>
          <w:sz w:val="28"/>
          <w:szCs w:val="28"/>
        </w:rPr>
      </w:pPr>
      <w:r w:rsidRPr="0005473C">
        <w:rPr>
          <w:bCs/>
          <w:sz w:val="28"/>
          <w:szCs w:val="28"/>
        </w:rPr>
        <w:t>Materials Regulations (HMR) and FMCSA’s deletion of domestic transportation</w:t>
      </w:r>
    </w:p>
    <w:p w:rsidR="000B75AB" w:rsidRPr="0005473C" w:rsidRDefault="000B75AB" w:rsidP="000B75AB">
      <w:pPr>
        <w:rPr>
          <w:bCs/>
          <w:sz w:val="28"/>
          <w:szCs w:val="28"/>
        </w:rPr>
      </w:pPr>
      <w:r w:rsidRPr="0005473C">
        <w:rPr>
          <w:bCs/>
          <w:sz w:val="28"/>
          <w:szCs w:val="28"/>
        </w:rPr>
        <w:t>of anhydrous ammonia from the list of hazardous materials subject to the</w:t>
      </w:r>
    </w:p>
    <w:p w:rsidR="000B75AB" w:rsidRPr="0005473C" w:rsidRDefault="000B75AB" w:rsidP="000B75AB">
      <w:pPr>
        <w:rPr>
          <w:bCs/>
          <w:sz w:val="28"/>
          <w:szCs w:val="28"/>
        </w:rPr>
      </w:pPr>
      <w:r w:rsidRPr="0005473C">
        <w:rPr>
          <w:bCs/>
          <w:sz w:val="28"/>
          <w:szCs w:val="28"/>
        </w:rPr>
        <w:t>Hazardous Materials Safety Permit (HMSP). These fields are identified as</w:t>
      </w:r>
    </w:p>
    <w:p w:rsidR="000B75AB" w:rsidRPr="0005473C" w:rsidRDefault="000B75AB" w:rsidP="000B75AB">
      <w:pPr>
        <w:rPr>
          <w:bCs/>
          <w:sz w:val="28"/>
          <w:szCs w:val="28"/>
        </w:rPr>
      </w:pPr>
      <w:r w:rsidRPr="0005473C">
        <w:rPr>
          <w:bCs/>
          <w:sz w:val="28"/>
          <w:szCs w:val="28"/>
        </w:rPr>
        <w:t>follows in the Hazardous Materials Carried or Shipped section of the respective</w:t>
      </w:r>
    </w:p>
    <w:p w:rsidR="000B75AB" w:rsidRPr="0005473C" w:rsidRDefault="000B75AB" w:rsidP="000B75AB">
      <w:pPr>
        <w:rPr>
          <w:bCs/>
          <w:sz w:val="28"/>
          <w:szCs w:val="28"/>
        </w:rPr>
      </w:pPr>
      <w:r w:rsidRPr="0005473C">
        <w:rPr>
          <w:bCs/>
          <w:sz w:val="28"/>
          <w:szCs w:val="28"/>
        </w:rPr>
        <w:t>registration forms.</w:t>
      </w:r>
    </w:p>
    <w:p w:rsidR="000B75AB" w:rsidRPr="0005473C" w:rsidRDefault="000B75AB" w:rsidP="000B75AB">
      <w:pPr>
        <w:rPr>
          <w:bCs/>
          <w:sz w:val="28"/>
          <w:szCs w:val="28"/>
        </w:rPr>
      </w:pPr>
      <w:r w:rsidRPr="0005473C">
        <w:rPr>
          <w:bCs/>
          <w:sz w:val="28"/>
          <w:szCs w:val="28"/>
        </w:rPr>
        <w:t>Form MCSA-1, Uniform Registration System (URS), for initial online</w:t>
      </w:r>
    </w:p>
    <w:p w:rsidR="000B75AB" w:rsidRPr="0005473C" w:rsidRDefault="000B75AB" w:rsidP="000B75AB">
      <w:pPr>
        <w:rPr>
          <w:bCs/>
          <w:sz w:val="28"/>
          <w:szCs w:val="28"/>
        </w:rPr>
      </w:pPr>
      <w:r w:rsidRPr="0005473C">
        <w:rPr>
          <w:bCs/>
          <w:sz w:val="28"/>
          <w:szCs w:val="28"/>
        </w:rPr>
        <w:t>registration.</w:t>
      </w:r>
    </w:p>
    <w:p w:rsidR="000B75AB" w:rsidRPr="0005473C" w:rsidRDefault="000B75AB" w:rsidP="000B75AB">
      <w:pPr>
        <w:ind w:firstLine="720"/>
        <w:rPr>
          <w:bCs/>
          <w:sz w:val="28"/>
          <w:szCs w:val="28"/>
        </w:rPr>
      </w:pPr>
      <w:proofErr w:type="spellStart"/>
      <w:r w:rsidRPr="0005473C">
        <w:rPr>
          <w:bCs/>
          <w:sz w:val="28"/>
          <w:szCs w:val="28"/>
        </w:rPr>
        <w:t>Div</w:t>
      </w:r>
      <w:proofErr w:type="spellEnd"/>
      <w:r w:rsidRPr="0005473C">
        <w:rPr>
          <w:bCs/>
          <w:sz w:val="28"/>
          <w:szCs w:val="28"/>
        </w:rPr>
        <w:t xml:space="preserve"> 2.2 (Anhydrous Ammonia)</w:t>
      </w:r>
    </w:p>
    <w:p w:rsidR="000B75AB" w:rsidRPr="0005473C" w:rsidRDefault="000B75AB" w:rsidP="000B75AB">
      <w:pPr>
        <w:ind w:firstLine="720"/>
        <w:rPr>
          <w:bCs/>
          <w:sz w:val="28"/>
          <w:szCs w:val="28"/>
        </w:rPr>
      </w:pPr>
      <w:r w:rsidRPr="0005473C">
        <w:rPr>
          <w:bCs/>
          <w:sz w:val="28"/>
          <w:szCs w:val="28"/>
        </w:rPr>
        <w:t>Class 3 A (Flammable liquid which is a PIH Zone A)</w:t>
      </w:r>
    </w:p>
    <w:p w:rsidR="000B75AB" w:rsidRPr="0005473C" w:rsidRDefault="000B75AB" w:rsidP="000B75AB">
      <w:pPr>
        <w:ind w:firstLine="720"/>
        <w:rPr>
          <w:bCs/>
          <w:sz w:val="28"/>
          <w:szCs w:val="28"/>
        </w:rPr>
      </w:pPr>
      <w:r w:rsidRPr="0005473C">
        <w:rPr>
          <w:bCs/>
          <w:sz w:val="28"/>
          <w:szCs w:val="28"/>
        </w:rPr>
        <w:t>Class 3 B (Flammable liquid which is a PIH Zone B)</w:t>
      </w:r>
    </w:p>
    <w:p w:rsidR="000B75AB" w:rsidRPr="0005473C" w:rsidRDefault="000B75AB" w:rsidP="000B75AB">
      <w:pPr>
        <w:rPr>
          <w:bCs/>
          <w:sz w:val="28"/>
          <w:szCs w:val="28"/>
        </w:rPr>
      </w:pPr>
      <w:r w:rsidRPr="0005473C">
        <w:rPr>
          <w:bCs/>
          <w:sz w:val="28"/>
          <w:szCs w:val="28"/>
        </w:rPr>
        <w:t>Forms MCS-150 and MCS-150B for registration updates (hard copy version).</w:t>
      </w:r>
    </w:p>
    <w:p w:rsidR="000B75AB" w:rsidRPr="0005473C" w:rsidRDefault="000B75AB" w:rsidP="000B75AB">
      <w:pPr>
        <w:ind w:firstLine="720"/>
        <w:rPr>
          <w:bCs/>
          <w:sz w:val="28"/>
          <w:szCs w:val="28"/>
        </w:rPr>
      </w:pPr>
      <w:proofErr w:type="spellStart"/>
      <w:r w:rsidRPr="0005473C">
        <w:rPr>
          <w:bCs/>
          <w:sz w:val="28"/>
          <w:szCs w:val="28"/>
        </w:rPr>
        <w:t>Div</w:t>
      </w:r>
      <w:proofErr w:type="spellEnd"/>
      <w:r w:rsidRPr="0005473C">
        <w:rPr>
          <w:bCs/>
          <w:sz w:val="28"/>
          <w:szCs w:val="28"/>
        </w:rPr>
        <w:t xml:space="preserve"> 2.2D (Ammonia)</w:t>
      </w:r>
    </w:p>
    <w:p w:rsidR="000B75AB" w:rsidRPr="0005473C" w:rsidRDefault="000B75AB" w:rsidP="000B75AB">
      <w:pPr>
        <w:ind w:firstLine="720"/>
        <w:rPr>
          <w:bCs/>
          <w:sz w:val="28"/>
          <w:szCs w:val="28"/>
        </w:rPr>
      </w:pPr>
      <w:r w:rsidRPr="0005473C">
        <w:rPr>
          <w:bCs/>
          <w:sz w:val="28"/>
          <w:szCs w:val="28"/>
        </w:rPr>
        <w:t>Class 3A</w:t>
      </w:r>
    </w:p>
    <w:p w:rsidR="000B75AB" w:rsidRPr="0005473C" w:rsidRDefault="000B75AB" w:rsidP="000B75AB">
      <w:pPr>
        <w:ind w:firstLine="720"/>
        <w:rPr>
          <w:bCs/>
          <w:sz w:val="28"/>
          <w:szCs w:val="28"/>
        </w:rPr>
      </w:pPr>
      <w:r w:rsidRPr="0005473C">
        <w:rPr>
          <w:bCs/>
          <w:sz w:val="28"/>
          <w:szCs w:val="28"/>
        </w:rPr>
        <w:t>Class 3B</w:t>
      </w:r>
    </w:p>
    <w:p w:rsidR="000B75AB" w:rsidRPr="0005473C" w:rsidRDefault="000B75AB" w:rsidP="000B75AB">
      <w:pPr>
        <w:rPr>
          <w:bCs/>
          <w:sz w:val="28"/>
          <w:szCs w:val="28"/>
        </w:rPr>
      </w:pPr>
      <w:r w:rsidRPr="0005473C">
        <w:rPr>
          <w:bCs/>
          <w:sz w:val="28"/>
          <w:szCs w:val="28"/>
        </w:rPr>
        <w:t>Forms MCS-150 and MCS-150B for registration updates (online version).</w:t>
      </w:r>
    </w:p>
    <w:p w:rsidR="000B75AB" w:rsidRPr="0005473C" w:rsidRDefault="000B75AB" w:rsidP="000B75AB">
      <w:pPr>
        <w:ind w:firstLine="720"/>
        <w:rPr>
          <w:bCs/>
          <w:sz w:val="28"/>
          <w:szCs w:val="28"/>
        </w:rPr>
      </w:pPr>
      <w:proofErr w:type="spellStart"/>
      <w:r w:rsidRPr="0005473C">
        <w:rPr>
          <w:bCs/>
          <w:sz w:val="28"/>
          <w:szCs w:val="28"/>
        </w:rPr>
        <w:t>Div</w:t>
      </w:r>
      <w:proofErr w:type="spellEnd"/>
      <w:r w:rsidRPr="0005473C">
        <w:rPr>
          <w:bCs/>
          <w:sz w:val="28"/>
          <w:szCs w:val="28"/>
        </w:rPr>
        <w:t xml:space="preserve"> 2.2A (Ammonia)</w:t>
      </w:r>
    </w:p>
    <w:p w:rsidR="000B75AB" w:rsidRPr="0005473C" w:rsidRDefault="000B75AB" w:rsidP="000B75AB">
      <w:pPr>
        <w:ind w:left="720"/>
        <w:rPr>
          <w:bCs/>
          <w:sz w:val="28"/>
          <w:szCs w:val="28"/>
        </w:rPr>
      </w:pPr>
      <w:r w:rsidRPr="0005473C">
        <w:rPr>
          <w:bCs/>
          <w:sz w:val="28"/>
          <w:szCs w:val="28"/>
        </w:rPr>
        <w:t>Class 3A</w:t>
      </w:r>
    </w:p>
    <w:p w:rsidR="000B75AB" w:rsidRPr="0005473C" w:rsidRDefault="000B75AB" w:rsidP="000B75AB">
      <w:pPr>
        <w:ind w:firstLine="720"/>
        <w:rPr>
          <w:bCs/>
          <w:sz w:val="28"/>
          <w:szCs w:val="28"/>
        </w:rPr>
      </w:pPr>
      <w:r w:rsidRPr="0005473C">
        <w:rPr>
          <w:bCs/>
          <w:sz w:val="28"/>
          <w:szCs w:val="28"/>
        </w:rPr>
        <w:lastRenderedPageBreak/>
        <w:t>Class 3B</w:t>
      </w:r>
    </w:p>
    <w:p w:rsidR="000B75AB" w:rsidRPr="001163A0" w:rsidRDefault="000B75AB" w:rsidP="000B75AB">
      <w:pPr>
        <w:rPr>
          <w:b/>
          <w:bCs/>
          <w:sz w:val="28"/>
          <w:szCs w:val="28"/>
        </w:rPr>
      </w:pPr>
      <w:r w:rsidRPr="001163A0">
        <w:rPr>
          <w:b/>
          <w:bCs/>
          <w:sz w:val="28"/>
          <w:szCs w:val="28"/>
        </w:rPr>
        <w:t>Background:</w:t>
      </w:r>
    </w:p>
    <w:p w:rsidR="000B75AB" w:rsidRPr="009D0371" w:rsidRDefault="000B75AB" w:rsidP="000B75AB">
      <w:pPr>
        <w:rPr>
          <w:bCs/>
          <w:sz w:val="28"/>
          <w:szCs w:val="28"/>
        </w:rPr>
      </w:pPr>
      <w:r w:rsidRPr="009D0371">
        <w:rPr>
          <w:bCs/>
          <w:sz w:val="28"/>
          <w:szCs w:val="28"/>
        </w:rPr>
        <w:t>The FMCSA stated in its October 2017 advisory that it no longer requires or</w:t>
      </w:r>
    </w:p>
    <w:p w:rsidR="000B75AB" w:rsidRPr="009D0371" w:rsidRDefault="000B75AB" w:rsidP="000B75AB">
      <w:pPr>
        <w:rPr>
          <w:bCs/>
          <w:sz w:val="28"/>
          <w:szCs w:val="28"/>
        </w:rPr>
      </w:pPr>
      <w:r w:rsidRPr="009D0371">
        <w:rPr>
          <w:bCs/>
          <w:sz w:val="28"/>
          <w:szCs w:val="28"/>
        </w:rPr>
        <w:t>issues a HMSP for the domestic transportation of UN 1005, anhydrous</w:t>
      </w:r>
    </w:p>
    <w:p w:rsidR="000B75AB" w:rsidRPr="009D0371" w:rsidRDefault="000B75AB" w:rsidP="000B75AB">
      <w:pPr>
        <w:rPr>
          <w:bCs/>
          <w:sz w:val="28"/>
          <w:szCs w:val="28"/>
        </w:rPr>
      </w:pPr>
      <w:r w:rsidRPr="009D0371">
        <w:rPr>
          <w:bCs/>
          <w:sz w:val="28"/>
          <w:szCs w:val="28"/>
        </w:rPr>
        <w:t>ammonia. The Hazardous Materials Table (HMT, 49 CFR 172.101) identifies</w:t>
      </w:r>
    </w:p>
    <w:p w:rsidR="000B75AB" w:rsidRPr="009D0371" w:rsidRDefault="000B75AB" w:rsidP="000B75AB">
      <w:pPr>
        <w:rPr>
          <w:bCs/>
          <w:sz w:val="28"/>
          <w:szCs w:val="28"/>
        </w:rPr>
      </w:pPr>
      <w:r w:rsidRPr="009D0371">
        <w:rPr>
          <w:bCs/>
          <w:sz w:val="28"/>
          <w:szCs w:val="28"/>
        </w:rPr>
        <w:t>anhydrous ammonia for domestic transportation as a Division 2.2 material with</w:t>
      </w:r>
    </w:p>
    <w:p w:rsidR="000B75AB" w:rsidRPr="009D0371" w:rsidRDefault="000B75AB" w:rsidP="000B75AB">
      <w:pPr>
        <w:rPr>
          <w:bCs/>
          <w:sz w:val="28"/>
          <w:szCs w:val="28"/>
        </w:rPr>
      </w:pPr>
      <w:r w:rsidRPr="009D0371">
        <w:rPr>
          <w:bCs/>
          <w:sz w:val="28"/>
          <w:szCs w:val="28"/>
        </w:rPr>
        <w:t>no assigned poison inhalation hazard (PIH) zone. As such, when transporting</w:t>
      </w:r>
    </w:p>
    <w:p w:rsidR="000B75AB" w:rsidRPr="009D0371" w:rsidRDefault="000B75AB" w:rsidP="000B75AB">
      <w:pPr>
        <w:rPr>
          <w:bCs/>
          <w:sz w:val="28"/>
          <w:szCs w:val="28"/>
        </w:rPr>
      </w:pPr>
      <w:r w:rsidRPr="009D0371">
        <w:rPr>
          <w:bCs/>
          <w:sz w:val="28"/>
          <w:szCs w:val="28"/>
        </w:rPr>
        <w:t>anhydrous ammonia domestically, it should be declared on FMCSA</w:t>
      </w:r>
    </w:p>
    <w:p w:rsidR="000B75AB" w:rsidRPr="009D0371" w:rsidRDefault="000B75AB" w:rsidP="000B75AB">
      <w:pPr>
        <w:rPr>
          <w:bCs/>
          <w:sz w:val="28"/>
          <w:szCs w:val="28"/>
        </w:rPr>
      </w:pPr>
      <w:r w:rsidRPr="009D0371">
        <w:rPr>
          <w:bCs/>
          <w:sz w:val="28"/>
          <w:szCs w:val="28"/>
        </w:rPr>
        <w:t>registration forms as a Division 2.2 non-flammable compressed gas (</w:t>
      </w:r>
      <w:proofErr w:type="spellStart"/>
      <w:r w:rsidRPr="009D0371">
        <w:rPr>
          <w:bCs/>
          <w:sz w:val="28"/>
          <w:szCs w:val="28"/>
        </w:rPr>
        <w:t>Div</w:t>
      </w:r>
      <w:proofErr w:type="spellEnd"/>
    </w:p>
    <w:p w:rsidR="000B75AB" w:rsidRPr="009D0371" w:rsidRDefault="000B75AB" w:rsidP="000B75AB">
      <w:pPr>
        <w:rPr>
          <w:bCs/>
          <w:sz w:val="28"/>
          <w:szCs w:val="28"/>
        </w:rPr>
      </w:pPr>
      <w:r w:rsidRPr="009D0371">
        <w:rPr>
          <w:bCs/>
          <w:sz w:val="28"/>
          <w:szCs w:val="28"/>
        </w:rPr>
        <w:t>2.2).</w:t>
      </w:r>
    </w:p>
    <w:p w:rsidR="000B75AB" w:rsidRPr="009D0371" w:rsidRDefault="000B75AB" w:rsidP="000B75AB">
      <w:pPr>
        <w:rPr>
          <w:bCs/>
          <w:sz w:val="28"/>
          <w:szCs w:val="28"/>
        </w:rPr>
      </w:pPr>
      <w:r w:rsidRPr="009D0371">
        <w:rPr>
          <w:bCs/>
          <w:sz w:val="28"/>
          <w:szCs w:val="28"/>
        </w:rPr>
        <w:t>However, when transporting anhydrous ammonia using the description for</w:t>
      </w:r>
    </w:p>
    <w:p w:rsidR="000B75AB" w:rsidRPr="009D0371" w:rsidRDefault="000B75AB" w:rsidP="000B75AB">
      <w:pPr>
        <w:rPr>
          <w:bCs/>
          <w:sz w:val="28"/>
          <w:szCs w:val="28"/>
        </w:rPr>
      </w:pPr>
      <w:r w:rsidRPr="009D0371">
        <w:rPr>
          <w:bCs/>
          <w:sz w:val="28"/>
          <w:szCs w:val="28"/>
        </w:rPr>
        <w:t>international transport, UN1005, ammonia, anhydrous 2.3 Poison Inhalation</w:t>
      </w:r>
    </w:p>
    <w:p w:rsidR="000B75AB" w:rsidRPr="009D0371" w:rsidRDefault="000B75AB" w:rsidP="000B75AB">
      <w:pPr>
        <w:rPr>
          <w:bCs/>
          <w:sz w:val="28"/>
          <w:szCs w:val="28"/>
        </w:rPr>
      </w:pPr>
      <w:r w:rsidRPr="009D0371">
        <w:rPr>
          <w:bCs/>
          <w:sz w:val="28"/>
          <w:szCs w:val="28"/>
        </w:rPr>
        <w:t>Hazard or Toxic Inhalation Hazard, Zone D, it is declared on FMCSA</w:t>
      </w:r>
    </w:p>
    <w:p w:rsidR="000B75AB" w:rsidRPr="009D0371" w:rsidRDefault="000B75AB" w:rsidP="000B75AB">
      <w:pPr>
        <w:rPr>
          <w:bCs/>
          <w:sz w:val="28"/>
          <w:szCs w:val="28"/>
        </w:rPr>
      </w:pPr>
      <w:r w:rsidRPr="009D0371">
        <w:rPr>
          <w:bCs/>
          <w:sz w:val="28"/>
          <w:szCs w:val="28"/>
        </w:rPr>
        <w:t>registration forms as a Division 2.3 D poison gas, which is a PIH Zone D</w:t>
      </w:r>
    </w:p>
    <w:p w:rsidR="000B75AB" w:rsidRPr="009D0371" w:rsidRDefault="000B75AB" w:rsidP="000B75AB">
      <w:pPr>
        <w:rPr>
          <w:bCs/>
          <w:sz w:val="28"/>
          <w:szCs w:val="28"/>
        </w:rPr>
      </w:pPr>
      <w:r w:rsidRPr="009D0371">
        <w:rPr>
          <w:bCs/>
          <w:sz w:val="28"/>
          <w:szCs w:val="28"/>
        </w:rPr>
        <w:t>(</w:t>
      </w:r>
      <w:proofErr w:type="spellStart"/>
      <w:r w:rsidRPr="009D0371">
        <w:rPr>
          <w:bCs/>
          <w:sz w:val="28"/>
          <w:szCs w:val="28"/>
        </w:rPr>
        <w:t>Div</w:t>
      </w:r>
      <w:proofErr w:type="spellEnd"/>
      <w:r w:rsidRPr="009D0371">
        <w:rPr>
          <w:bCs/>
          <w:sz w:val="28"/>
          <w:szCs w:val="28"/>
        </w:rPr>
        <w:t xml:space="preserve"> 2.3 D).</w:t>
      </w:r>
    </w:p>
    <w:p w:rsidR="000B75AB" w:rsidRPr="009D0371" w:rsidRDefault="000B75AB" w:rsidP="000B75AB">
      <w:pPr>
        <w:rPr>
          <w:bCs/>
          <w:sz w:val="28"/>
          <w:szCs w:val="28"/>
        </w:rPr>
      </w:pPr>
      <w:r w:rsidRPr="009D0371">
        <w:rPr>
          <w:bCs/>
          <w:sz w:val="28"/>
          <w:szCs w:val="28"/>
        </w:rPr>
        <w:t>In addition, each of the FMCSA registration forms offer options for declaring the</w:t>
      </w:r>
    </w:p>
    <w:p w:rsidR="000B75AB" w:rsidRPr="009D0371" w:rsidRDefault="000B75AB" w:rsidP="000B75AB">
      <w:pPr>
        <w:rPr>
          <w:bCs/>
          <w:sz w:val="28"/>
          <w:szCs w:val="28"/>
        </w:rPr>
      </w:pPr>
      <w:r w:rsidRPr="009D0371">
        <w:rPr>
          <w:bCs/>
          <w:sz w:val="28"/>
          <w:szCs w:val="28"/>
        </w:rPr>
        <w:t>transportation of Class 3A (flammable liquid which is a PIH Zone A) and Class 3B</w:t>
      </w:r>
    </w:p>
    <w:p w:rsidR="000B75AB" w:rsidRPr="009D0371" w:rsidRDefault="000B75AB" w:rsidP="000B75AB">
      <w:pPr>
        <w:rPr>
          <w:bCs/>
          <w:sz w:val="28"/>
          <w:szCs w:val="28"/>
        </w:rPr>
      </w:pPr>
      <w:r w:rsidRPr="009D0371">
        <w:rPr>
          <w:bCs/>
          <w:sz w:val="28"/>
          <w:szCs w:val="28"/>
        </w:rPr>
        <w:t>(flammable liquid which is a PIH Zone B) materials. The HMT does not identify</w:t>
      </w:r>
    </w:p>
    <w:p w:rsidR="000B75AB" w:rsidRPr="009D0371" w:rsidRDefault="000B75AB" w:rsidP="000B75AB">
      <w:pPr>
        <w:rPr>
          <w:bCs/>
          <w:sz w:val="28"/>
          <w:szCs w:val="28"/>
        </w:rPr>
      </w:pPr>
      <w:r w:rsidRPr="009D0371">
        <w:rPr>
          <w:bCs/>
          <w:sz w:val="28"/>
          <w:szCs w:val="28"/>
        </w:rPr>
        <w:t>any Class 3 material with a subsidiary hazard meeting the definition of a PIH</w:t>
      </w:r>
    </w:p>
    <w:p w:rsidR="000B75AB" w:rsidRPr="009D0371" w:rsidRDefault="000B75AB" w:rsidP="000B75AB">
      <w:pPr>
        <w:rPr>
          <w:bCs/>
          <w:sz w:val="28"/>
          <w:szCs w:val="28"/>
        </w:rPr>
      </w:pPr>
      <w:r w:rsidRPr="009D0371">
        <w:rPr>
          <w:bCs/>
          <w:sz w:val="28"/>
          <w:szCs w:val="28"/>
        </w:rPr>
        <w:t>Zone A or B. Further 49 CFR 173.2a precludes the assignment of a PIH Zone A</w:t>
      </w:r>
    </w:p>
    <w:p w:rsidR="000B75AB" w:rsidRPr="009D0371" w:rsidRDefault="000B75AB" w:rsidP="000B75AB">
      <w:pPr>
        <w:rPr>
          <w:bCs/>
          <w:sz w:val="28"/>
          <w:szCs w:val="28"/>
        </w:rPr>
      </w:pPr>
      <w:r w:rsidRPr="009D0371">
        <w:rPr>
          <w:bCs/>
          <w:sz w:val="28"/>
          <w:szCs w:val="28"/>
        </w:rPr>
        <w:t>or B to a Class 3 material. As such, all flammable liquids are appropriately</w:t>
      </w:r>
    </w:p>
    <w:p w:rsidR="000B75AB" w:rsidRPr="009D0371" w:rsidRDefault="000B75AB" w:rsidP="000B75AB">
      <w:pPr>
        <w:rPr>
          <w:bCs/>
          <w:sz w:val="28"/>
          <w:szCs w:val="28"/>
        </w:rPr>
      </w:pPr>
      <w:r w:rsidRPr="009D0371">
        <w:rPr>
          <w:bCs/>
          <w:sz w:val="28"/>
          <w:szCs w:val="28"/>
        </w:rPr>
        <w:t>declared on FMCSA registration forms as Class 3.</w:t>
      </w:r>
    </w:p>
    <w:p w:rsidR="000B75AB" w:rsidRPr="001163A0" w:rsidRDefault="000B75AB" w:rsidP="000B75AB">
      <w:pPr>
        <w:rPr>
          <w:b/>
          <w:bCs/>
          <w:sz w:val="28"/>
          <w:szCs w:val="28"/>
        </w:rPr>
      </w:pPr>
      <w:r w:rsidRPr="001163A0">
        <w:rPr>
          <w:b/>
          <w:bCs/>
          <w:sz w:val="28"/>
          <w:szCs w:val="28"/>
        </w:rPr>
        <w:t>Action:</w:t>
      </w:r>
    </w:p>
    <w:p w:rsidR="000B75AB" w:rsidRPr="009D0371" w:rsidRDefault="000B75AB" w:rsidP="000B75AB">
      <w:pPr>
        <w:rPr>
          <w:bCs/>
          <w:sz w:val="28"/>
          <w:szCs w:val="28"/>
        </w:rPr>
      </w:pPr>
      <w:r w:rsidRPr="009D0371">
        <w:rPr>
          <w:bCs/>
          <w:sz w:val="28"/>
          <w:szCs w:val="28"/>
        </w:rPr>
        <w:t>The FMCSA is directing motor carriers that currently have entries in their</w:t>
      </w:r>
    </w:p>
    <w:p w:rsidR="000B75AB" w:rsidRPr="009D0371" w:rsidRDefault="000B75AB" w:rsidP="000B75AB">
      <w:pPr>
        <w:rPr>
          <w:bCs/>
          <w:sz w:val="28"/>
          <w:szCs w:val="28"/>
        </w:rPr>
      </w:pPr>
      <w:r w:rsidRPr="009D0371">
        <w:rPr>
          <w:bCs/>
          <w:sz w:val="28"/>
          <w:szCs w:val="28"/>
        </w:rPr>
        <w:lastRenderedPageBreak/>
        <w:t>registration record referring to Division 2.2 anhydrous ammonia, Class 3A, or</w:t>
      </w:r>
    </w:p>
    <w:p w:rsidR="000B75AB" w:rsidRPr="009D0371" w:rsidRDefault="000B75AB" w:rsidP="000B75AB">
      <w:pPr>
        <w:rPr>
          <w:bCs/>
          <w:sz w:val="28"/>
          <w:szCs w:val="28"/>
        </w:rPr>
      </w:pPr>
      <w:r w:rsidRPr="009D0371">
        <w:rPr>
          <w:bCs/>
          <w:sz w:val="28"/>
          <w:szCs w:val="28"/>
        </w:rPr>
        <w:t>Class 3B to delete the information in those fields and appropriately declare the</w:t>
      </w:r>
    </w:p>
    <w:p w:rsidR="000B75AB" w:rsidRPr="009D0371" w:rsidRDefault="000B75AB" w:rsidP="000B75AB">
      <w:pPr>
        <w:rPr>
          <w:bCs/>
          <w:sz w:val="28"/>
          <w:szCs w:val="28"/>
        </w:rPr>
      </w:pPr>
      <w:r w:rsidRPr="009D0371">
        <w:rPr>
          <w:bCs/>
          <w:sz w:val="28"/>
          <w:szCs w:val="28"/>
        </w:rPr>
        <w:t>transportation of anhydrous ammonia and Class 3 flammable liquids as</w:t>
      </w:r>
    </w:p>
    <w:p w:rsidR="000B75AB" w:rsidRDefault="000B75AB" w:rsidP="000B75AB">
      <w:pPr>
        <w:rPr>
          <w:bCs/>
          <w:sz w:val="28"/>
          <w:szCs w:val="28"/>
        </w:rPr>
      </w:pPr>
      <w:r w:rsidRPr="009D0371">
        <w:rPr>
          <w:bCs/>
          <w:sz w:val="28"/>
          <w:szCs w:val="28"/>
        </w:rPr>
        <w:t>provided in the following table.</w:t>
      </w:r>
    </w:p>
    <w:p w:rsidR="000B75AB" w:rsidRDefault="000B75AB" w:rsidP="000B75AB">
      <w:r>
        <w:t xml:space="preserve">provided in the following table. </w:t>
      </w:r>
    </w:p>
    <w:tbl>
      <w:tblPr>
        <w:tblW w:w="0" w:type="auto"/>
        <w:tblInd w:w="100" w:type="dxa"/>
        <w:tblLayout w:type="fixed"/>
        <w:tblCellMar>
          <w:left w:w="0" w:type="dxa"/>
          <w:right w:w="0" w:type="dxa"/>
        </w:tblCellMar>
        <w:tblLook w:val="0000" w:firstRow="0" w:lastRow="0" w:firstColumn="0" w:lastColumn="0" w:noHBand="0" w:noVBand="0"/>
      </w:tblPr>
      <w:tblGrid>
        <w:gridCol w:w="1402"/>
        <w:gridCol w:w="1551"/>
        <w:gridCol w:w="3020"/>
        <w:gridCol w:w="3020"/>
      </w:tblGrid>
      <w:tr w:rsidR="000B75AB" w:rsidRPr="009D0371" w:rsidTr="007C2CAA">
        <w:trPr>
          <w:trHeight w:val="1655"/>
        </w:trPr>
        <w:tc>
          <w:tcPr>
            <w:tcW w:w="1402" w:type="dxa"/>
            <w:tcBorders>
              <w:top w:val="single" w:sz="4" w:space="0" w:color="000000"/>
              <w:left w:val="single" w:sz="4" w:space="0" w:color="000000"/>
              <w:bottom w:val="double" w:sz="2"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ind w:left="182" w:right="427"/>
              <w:jc w:val="center"/>
              <w:rPr>
                <w:rFonts w:ascii="Arial" w:hAnsi="Arial" w:cs="Arial"/>
                <w:sz w:val="18"/>
                <w:szCs w:val="18"/>
              </w:rPr>
            </w:pPr>
            <w:r w:rsidRPr="009D0371">
              <w:rPr>
                <w:rFonts w:ascii="Arial" w:hAnsi="Arial" w:cs="Arial"/>
                <w:sz w:val="18"/>
                <w:szCs w:val="18"/>
              </w:rPr>
              <w:t>If your MCS-150</w:t>
            </w:r>
          </w:p>
          <w:p w:rsidR="000B75AB" w:rsidRPr="009D0371" w:rsidRDefault="000B75AB" w:rsidP="007C2CAA">
            <w:pPr>
              <w:kinsoku w:val="0"/>
              <w:overflowPunct w:val="0"/>
              <w:autoSpaceDE w:val="0"/>
              <w:autoSpaceDN w:val="0"/>
              <w:adjustRightInd w:val="0"/>
              <w:spacing w:after="0" w:line="240" w:lineRule="auto"/>
              <w:ind w:left="179" w:right="427"/>
              <w:jc w:val="center"/>
              <w:rPr>
                <w:rFonts w:ascii="Arial" w:hAnsi="Arial" w:cs="Arial"/>
                <w:sz w:val="18"/>
                <w:szCs w:val="18"/>
              </w:rPr>
            </w:pPr>
            <w:r w:rsidRPr="009D0371">
              <w:rPr>
                <w:rFonts w:ascii="Arial" w:hAnsi="Arial" w:cs="Arial"/>
                <w:sz w:val="18"/>
                <w:szCs w:val="18"/>
              </w:rPr>
              <w:t>or MCS- 150B</w:t>
            </w:r>
          </w:p>
          <w:p w:rsidR="000B75AB" w:rsidRPr="009D0371" w:rsidRDefault="000B75AB" w:rsidP="007C2CAA">
            <w:pPr>
              <w:kinsoku w:val="0"/>
              <w:overflowPunct w:val="0"/>
              <w:autoSpaceDE w:val="0"/>
              <w:autoSpaceDN w:val="0"/>
              <w:adjustRightInd w:val="0"/>
              <w:spacing w:after="0" w:line="240" w:lineRule="auto"/>
              <w:ind w:left="203" w:right="447" w:hanging="1"/>
              <w:jc w:val="center"/>
              <w:rPr>
                <w:rFonts w:ascii="Arial" w:hAnsi="Arial" w:cs="Arial"/>
                <w:spacing w:val="2"/>
                <w:sz w:val="18"/>
                <w:szCs w:val="18"/>
              </w:rPr>
            </w:pPr>
            <w:r w:rsidRPr="009D0371">
              <w:rPr>
                <w:rFonts w:ascii="Arial" w:hAnsi="Arial" w:cs="Arial"/>
                <w:spacing w:val="2"/>
                <w:sz w:val="18"/>
                <w:szCs w:val="18"/>
              </w:rPr>
              <w:t>currently indicates</w:t>
            </w:r>
          </w:p>
          <w:p w:rsidR="000B75AB" w:rsidRPr="009D0371" w:rsidRDefault="000B75AB" w:rsidP="007C2CAA">
            <w:pPr>
              <w:kinsoku w:val="0"/>
              <w:overflowPunct w:val="0"/>
              <w:autoSpaceDE w:val="0"/>
              <w:autoSpaceDN w:val="0"/>
              <w:adjustRightInd w:val="0"/>
              <w:spacing w:after="0" w:line="206" w:lineRule="exact"/>
              <w:ind w:left="177" w:right="426" w:firstLine="5"/>
              <w:jc w:val="center"/>
              <w:rPr>
                <w:rFonts w:ascii="Arial" w:hAnsi="Arial" w:cs="Arial"/>
                <w:spacing w:val="2"/>
                <w:sz w:val="18"/>
                <w:szCs w:val="18"/>
              </w:rPr>
            </w:pPr>
            <w:r w:rsidRPr="009D0371">
              <w:rPr>
                <w:rFonts w:ascii="Arial" w:hAnsi="Arial" w:cs="Arial"/>
                <w:sz w:val="18"/>
                <w:szCs w:val="18"/>
              </w:rPr>
              <w:t xml:space="preserve">that </w:t>
            </w:r>
            <w:r w:rsidRPr="009D0371">
              <w:rPr>
                <w:rFonts w:ascii="Arial" w:hAnsi="Arial" w:cs="Arial"/>
                <w:spacing w:val="2"/>
                <w:sz w:val="18"/>
                <w:szCs w:val="18"/>
              </w:rPr>
              <w:t>you transport:</w:t>
            </w:r>
          </w:p>
        </w:tc>
        <w:tc>
          <w:tcPr>
            <w:tcW w:w="7591" w:type="dxa"/>
            <w:gridSpan w:val="3"/>
            <w:tcBorders>
              <w:top w:val="single" w:sz="4" w:space="0" w:color="000000"/>
              <w:left w:val="single" w:sz="4" w:space="0" w:color="000000"/>
              <w:bottom w:val="double" w:sz="2"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rPr>
                <w:rFonts w:ascii="Times New Roman" w:hAnsi="Times New Roman" w:cs="Times New Roman"/>
                <w:sz w:val="20"/>
                <w:szCs w:val="20"/>
              </w:rPr>
            </w:pPr>
          </w:p>
          <w:p w:rsidR="000B75AB" w:rsidRPr="009D0371" w:rsidRDefault="000B75AB" w:rsidP="007C2CAA">
            <w:pPr>
              <w:kinsoku w:val="0"/>
              <w:overflowPunct w:val="0"/>
              <w:autoSpaceDE w:val="0"/>
              <w:autoSpaceDN w:val="0"/>
              <w:adjustRightInd w:val="0"/>
              <w:spacing w:before="1" w:after="0" w:line="240" w:lineRule="auto"/>
              <w:ind w:left="2832" w:right="3148"/>
              <w:jc w:val="center"/>
              <w:rPr>
                <w:rFonts w:ascii="Arial" w:hAnsi="Arial" w:cs="Arial"/>
                <w:sz w:val="18"/>
                <w:szCs w:val="18"/>
              </w:rPr>
            </w:pPr>
            <w:r w:rsidRPr="009D0371">
              <w:rPr>
                <w:rFonts w:ascii="Arial" w:hAnsi="Arial" w:cs="Arial"/>
                <w:sz w:val="18"/>
                <w:szCs w:val="18"/>
              </w:rPr>
              <w:t>Take these actions:</w:t>
            </w:r>
          </w:p>
        </w:tc>
      </w:tr>
      <w:tr w:rsidR="000B75AB" w:rsidRPr="009D0371" w:rsidTr="007C2CAA">
        <w:trPr>
          <w:trHeight w:val="3519"/>
        </w:trPr>
        <w:tc>
          <w:tcPr>
            <w:tcW w:w="1402" w:type="dxa"/>
            <w:vMerge w:val="restart"/>
            <w:tcBorders>
              <w:top w:val="double" w:sz="2" w:space="0" w:color="000000"/>
              <w:left w:val="single" w:sz="4" w:space="0" w:color="000000"/>
              <w:bottom w:val="double" w:sz="2"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rPr>
                <w:rFonts w:ascii="Times New Roman" w:hAnsi="Times New Roman" w:cs="Times New Roman"/>
                <w:sz w:val="20"/>
                <w:szCs w:val="20"/>
              </w:rPr>
            </w:pPr>
          </w:p>
          <w:p w:rsidR="000B75AB" w:rsidRPr="009D0371" w:rsidRDefault="000B75AB" w:rsidP="007C2CAA">
            <w:pPr>
              <w:kinsoku w:val="0"/>
              <w:overflowPunct w:val="0"/>
              <w:autoSpaceDE w:val="0"/>
              <w:autoSpaceDN w:val="0"/>
              <w:adjustRightInd w:val="0"/>
              <w:spacing w:before="133" w:after="0" w:line="240" w:lineRule="auto"/>
              <w:ind w:left="283" w:right="273" w:hanging="63"/>
              <w:rPr>
                <w:rFonts w:ascii="Arial" w:hAnsi="Arial" w:cs="Arial"/>
                <w:spacing w:val="2"/>
                <w:sz w:val="18"/>
                <w:szCs w:val="18"/>
              </w:rPr>
            </w:pPr>
            <w:r w:rsidRPr="009D0371">
              <w:rPr>
                <w:rFonts w:ascii="Arial" w:hAnsi="Arial" w:cs="Arial"/>
                <w:spacing w:val="2"/>
                <w:sz w:val="18"/>
                <w:szCs w:val="18"/>
              </w:rPr>
              <w:t>Anhydrous ammonia</w:t>
            </w:r>
          </w:p>
          <w:p w:rsidR="000B75AB" w:rsidRPr="009D0371" w:rsidRDefault="000B75AB" w:rsidP="007C2CAA">
            <w:pPr>
              <w:kinsoku w:val="0"/>
              <w:overflowPunct w:val="0"/>
              <w:autoSpaceDE w:val="0"/>
              <w:autoSpaceDN w:val="0"/>
              <w:adjustRightInd w:val="0"/>
              <w:spacing w:after="0" w:line="240" w:lineRule="auto"/>
              <w:rPr>
                <w:rFonts w:ascii="Times New Roman" w:hAnsi="Times New Roman" w:cs="Times New Roman"/>
                <w:sz w:val="18"/>
                <w:szCs w:val="18"/>
              </w:rPr>
            </w:pPr>
          </w:p>
          <w:p w:rsidR="000B75AB" w:rsidRPr="009D0371" w:rsidRDefault="000B75AB" w:rsidP="007C2CAA">
            <w:pPr>
              <w:kinsoku w:val="0"/>
              <w:overflowPunct w:val="0"/>
              <w:autoSpaceDE w:val="0"/>
              <w:autoSpaceDN w:val="0"/>
              <w:adjustRightInd w:val="0"/>
              <w:spacing w:before="1" w:after="0" w:line="207" w:lineRule="exact"/>
              <w:ind w:left="311"/>
              <w:rPr>
                <w:rFonts w:ascii="Arial" w:hAnsi="Arial" w:cs="Arial"/>
                <w:spacing w:val="2"/>
                <w:sz w:val="18"/>
                <w:szCs w:val="18"/>
              </w:rPr>
            </w:pPr>
            <w:proofErr w:type="spellStart"/>
            <w:r w:rsidRPr="009D0371">
              <w:rPr>
                <w:rFonts w:ascii="Arial" w:hAnsi="Arial" w:cs="Arial"/>
                <w:sz w:val="18"/>
                <w:szCs w:val="18"/>
              </w:rPr>
              <w:t>Div</w:t>
            </w:r>
            <w:proofErr w:type="spellEnd"/>
            <w:r w:rsidRPr="009D0371">
              <w:rPr>
                <w:rFonts w:ascii="Arial" w:hAnsi="Arial" w:cs="Arial"/>
                <w:spacing w:val="4"/>
                <w:sz w:val="18"/>
                <w:szCs w:val="18"/>
              </w:rPr>
              <w:t xml:space="preserve"> </w:t>
            </w:r>
            <w:r w:rsidRPr="009D0371">
              <w:rPr>
                <w:rFonts w:ascii="Arial" w:hAnsi="Arial" w:cs="Arial"/>
                <w:spacing w:val="2"/>
                <w:sz w:val="18"/>
                <w:szCs w:val="18"/>
              </w:rPr>
              <w:t>2.2A</w:t>
            </w:r>
          </w:p>
          <w:p w:rsidR="000B75AB" w:rsidRPr="009D0371" w:rsidRDefault="000B75AB" w:rsidP="007C2CAA">
            <w:pPr>
              <w:kinsoku w:val="0"/>
              <w:overflowPunct w:val="0"/>
              <w:autoSpaceDE w:val="0"/>
              <w:autoSpaceDN w:val="0"/>
              <w:adjustRightInd w:val="0"/>
              <w:spacing w:after="0" w:line="240" w:lineRule="auto"/>
              <w:ind w:left="455" w:right="164" w:hanging="248"/>
              <w:rPr>
                <w:rFonts w:ascii="Arial" w:hAnsi="Arial" w:cs="Arial"/>
                <w:sz w:val="18"/>
                <w:szCs w:val="18"/>
              </w:rPr>
            </w:pPr>
            <w:r w:rsidRPr="009D0371">
              <w:rPr>
                <w:rFonts w:ascii="Arial" w:hAnsi="Arial" w:cs="Arial"/>
                <w:sz w:val="18"/>
                <w:szCs w:val="18"/>
              </w:rPr>
              <w:t>(Ammonia) or</w:t>
            </w:r>
          </w:p>
          <w:p w:rsidR="000B75AB" w:rsidRPr="009D0371" w:rsidRDefault="000B75AB" w:rsidP="007C2CAA">
            <w:pPr>
              <w:kinsoku w:val="0"/>
              <w:overflowPunct w:val="0"/>
              <w:autoSpaceDE w:val="0"/>
              <w:autoSpaceDN w:val="0"/>
              <w:adjustRightInd w:val="0"/>
              <w:spacing w:before="1" w:after="0" w:line="207" w:lineRule="exact"/>
              <w:ind w:left="261"/>
              <w:rPr>
                <w:rFonts w:ascii="Arial" w:hAnsi="Arial" w:cs="Arial"/>
                <w:sz w:val="18"/>
                <w:szCs w:val="18"/>
              </w:rPr>
            </w:pPr>
            <w:proofErr w:type="spellStart"/>
            <w:r w:rsidRPr="009D0371">
              <w:rPr>
                <w:rFonts w:ascii="Arial" w:hAnsi="Arial" w:cs="Arial"/>
                <w:sz w:val="18"/>
                <w:szCs w:val="18"/>
              </w:rPr>
              <w:t>Div</w:t>
            </w:r>
            <w:proofErr w:type="spellEnd"/>
            <w:r w:rsidRPr="009D0371">
              <w:rPr>
                <w:rFonts w:ascii="Arial" w:hAnsi="Arial" w:cs="Arial"/>
                <w:sz w:val="18"/>
                <w:szCs w:val="18"/>
              </w:rPr>
              <w:t xml:space="preserve"> 2.2D</w:t>
            </w:r>
          </w:p>
          <w:p w:rsidR="000B75AB" w:rsidRPr="009D0371" w:rsidRDefault="000B75AB" w:rsidP="007C2CAA">
            <w:pPr>
              <w:kinsoku w:val="0"/>
              <w:overflowPunct w:val="0"/>
              <w:autoSpaceDE w:val="0"/>
              <w:autoSpaceDN w:val="0"/>
              <w:adjustRightInd w:val="0"/>
              <w:spacing w:after="0" w:line="207" w:lineRule="exact"/>
              <w:ind w:left="162"/>
              <w:rPr>
                <w:rFonts w:ascii="Arial" w:hAnsi="Arial" w:cs="Arial"/>
                <w:sz w:val="18"/>
                <w:szCs w:val="18"/>
              </w:rPr>
            </w:pPr>
            <w:r w:rsidRPr="009D0371">
              <w:rPr>
                <w:rFonts w:ascii="Arial" w:hAnsi="Arial" w:cs="Arial"/>
                <w:sz w:val="18"/>
                <w:szCs w:val="18"/>
              </w:rPr>
              <w:t>(Ammonia)</w:t>
            </w:r>
          </w:p>
        </w:tc>
        <w:tc>
          <w:tcPr>
            <w:tcW w:w="1551" w:type="dxa"/>
            <w:vMerge w:val="restart"/>
            <w:tcBorders>
              <w:top w:val="double" w:sz="2" w:space="0" w:color="000000"/>
              <w:left w:val="single" w:sz="4" w:space="0" w:color="000000"/>
              <w:bottom w:val="double" w:sz="2"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rPr>
                <w:rFonts w:ascii="Times New Roman" w:hAnsi="Times New Roman" w:cs="Times New Roman"/>
                <w:sz w:val="20"/>
                <w:szCs w:val="20"/>
              </w:rPr>
            </w:pPr>
          </w:p>
          <w:p w:rsidR="000B75AB" w:rsidRPr="009D0371" w:rsidRDefault="000B75AB" w:rsidP="007C2CAA">
            <w:pPr>
              <w:kinsoku w:val="0"/>
              <w:overflowPunct w:val="0"/>
              <w:autoSpaceDE w:val="0"/>
              <w:autoSpaceDN w:val="0"/>
              <w:adjustRightInd w:val="0"/>
              <w:spacing w:before="133" w:after="0" w:line="240" w:lineRule="auto"/>
              <w:ind w:left="131" w:right="288" w:hanging="3"/>
              <w:jc w:val="center"/>
              <w:rPr>
                <w:rFonts w:ascii="Arial" w:hAnsi="Arial" w:cs="Arial"/>
                <w:sz w:val="18"/>
                <w:szCs w:val="18"/>
              </w:rPr>
            </w:pPr>
            <w:r w:rsidRPr="009D0371">
              <w:rPr>
                <w:rFonts w:ascii="Arial" w:hAnsi="Arial" w:cs="Arial"/>
                <w:sz w:val="18"/>
                <w:szCs w:val="18"/>
              </w:rPr>
              <w:t xml:space="preserve">Delete all information in the </w:t>
            </w:r>
            <w:proofErr w:type="spellStart"/>
            <w:r w:rsidRPr="009D0371">
              <w:rPr>
                <w:rFonts w:ascii="Arial" w:hAnsi="Arial" w:cs="Arial"/>
                <w:sz w:val="18"/>
                <w:szCs w:val="18"/>
              </w:rPr>
              <w:t>Div</w:t>
            </w:r>
            <w:proofErr w:type="spellEnd"/>
            <w:r w:rsidRPr="009D0371">
              <w:rPr>
                <w:rFonts w:ascii="Arial" w:hAnsi="Arial" w:cs="Arial"/>
                <w:sz w:val="18"/>
                <w:szCs w:val="18"/>
              </w:rPr>
              <w:t xml:space="preserve"> 2.2A (ammonia)</w:t>
            </w:r>
          </w:p>
          <w:p w:rsidR="000B75AB" w:rsidRPr="009D0371" w:rsidRDefault="000B75AB" w:rsidP="007C2CAA">
            <w:pPr>
              <w:kinsoku w:val="0"/>
              <w:overflowPunct w:val="0"/>
              <w:autoSpaceDE w:val="0"/>
              <w:autoSpaceDN w:val="0"/>
              <w:adjustRightInd w:val="0"/>
              <w:spacing w:after="0" w:line="240" w:lineRule="auto"/>
              <w:ind w:left="380" w:right="447" w:firstLine="273"/>
              <w:rPr>
                <w:rFonts w:ascii="Arial" w:hAnsi="Arial" w:cs="Arial"/>
                <w:sz w:val="18"/>
                <w:szCs w:val="18"/>
              </w:rPr>
            </w:pPr>
            <w:r w:rsidRPr="009D0371">
              <w:rPr>
                <w:rFonts w:ascii="Arial" w:hAnsi="Arial" w:cs="Arial"/>
                <w:spacing w:val="3"/>
                <w:sz w:val="18"/>
                <w:szCs w:val="18"/>
              </w:rPr>
              <w:t xml:space="preserve">or </w:t>
            </w:r>
            <w:proofErr w:type="spellStart"/>
            <w:r w:rsidRPr="009D0371">
              <w:rPr>
                <w:rFonts w:ascii="Arial" w:hAnsi="Arial" w:cs="Arial"/>
                <w:sz w:val="18"/>
                <w:szCs w:val="18"/>
              </w:rPr>
              <w:t>Div</w:t>
            </w:r>
            <w:proofErr w:type="spellEnd"/>
            <w:r w:rsidRPr="009D0371">
              <w:rPr>
                <w:rFonts w:ascii="Arial" w:hAnsi="Arial" w:cs="Arial"/>
                <w:spacing w:val="3"/>
                <w:sz w:val="18"/>
                <w:szCs w:val="18"/>
              </w:rPr>
              <w:t xml:space="preserve"> </w:t>
            </w:r>
            <w:r w:rsidRPr="009D0371">
              <w:rPr>
                <w:rFonts w:ascii="Arial" w:hAnsi="Arial" w:cs="Arial"/>
                <w:sz w:val="18"/>
                <w:szCs w:val="18"/>
              </w:rPr>
              <w:t>2.2D</w:t>
            </w:r>
          </w:p>
          <w:p w:rsidR="000B75AB" w:rsidRPr="009D0371" w:rsidRDefault="000B75AB" w:rsidP="007C2CAA">
            <w:pPr>
              <w:kinsoku w:val="0"/>
              <w:overflowPunct w:val="0"/>
              <w:autoSpaceDE w:val="0"/>
              <w:autoSpaceDN w:val="0"/>
              <w:adjustRightInd w:val="0"/>
              <w:spacing w:before="2" w:after="0" w:line="240" w:lineRule="auto"/>
              <w:ind w:left="517" w:hanging="226"/>
              <w:rPr>
                <w:rFonts w:ascii="Arial" w:hAnsi="Arial" w:cs="Arial"/>
                <w:sz w:val="18"/>
                <w:szCs w:val="18"/>
              </w:rPr>
            </w:pPr>
            <w:r w:rsidRPr="009D0371">
              <w:rPr>
                <w:rFonts w:ascii="Arial" w:hAnsi="Arial" w:cs="Arial"/>
                <w:sz w:val="18"/>
                <w:szCs w:val="18"/>
              </w:rPr>
              <w:t>(ammonia) fields</w:t>
            </w:r>
          </w:p>
        </w:tc>
        <w:tc>
          <w:tcPr>
            <w:tcW w:w="3020" w:type="dxa"/>
            <w:tcBorders>
              <w:top w:val="double" w:sz="2" w:space="0" w:color="000000"/>
              <w:left w:val="single" w:sz="4" w:space="0" w:color="000000"/>
              <w:bottom w:val="double" w:sz="2"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rPr>
                <w:rFonts w:ascii="Times New Roman" w:hAnsi="Times New Roman" w:cs="Times New Roman"/>
                <w:sz w:val="20"/>
                <w:szCs w:val="20"/>
              </w:rPr>
            </w:pPr>
          </w:p>
          <w:p w:rsidR="000B75AB" w:rsidRPr="009D0371" w:rsidRDefault="000B75AB" w:rsidP="007C2CAA">
            <w:pPr>
              <w:kinsoku w:val="0"/>
              <w:overflowPunct w:val="0"/>
              <w:autoSpaceDE w:val="0"/>
              <w:autoSpaceDN w:val="0"/>
              <w:adjustRightInd w:val="0"/>
              <w:spacing w:after="0" w:line="240" w:lineRule="auto"/>
              <w:ind w:left="159" w:right="481" w:firstLine="5"/>
              <w:jc w:val="center"/>
              <w:rPr>
                <w:rFonts w:ascii="Arial" w:hAnsi="Arial" w:cs="Arial"/>
                <w:sz w:val="18"/>
                <w:szCs w:val="18"/>
              </w:rPr>
            </w:pPr>
            <w:r w:rsidRPr="009D0371">
              <w:rPr>
                <w:rFonts w:ascii="Arial" w:hAnsi="Arial" w:cs="Arial"/>
                <w:sz w:val="18"/>
                <w:szCs w:val="18"/>
              </w:rPr>
              <w:t>If you transport anhydrous ammonia using the domestic Division 2.2 description…</w:t>
            </w:r>
          </w:p>
        </w:tc>
        <w:tc>
          <w:tcPr>
            <w:tcW w:w="3020" w:type="dxa"/>
            <w:tcBorders>
              <w:top w:val="double" w:sz="2" w:space="0" w:color="000000"/>
              <w:left w:val="single" w:sz="4" w:space="0" w:color="000000"/>
              <w:bottom w:val="double" w:sz="2"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ind w:left="178" w:right="500"/>
              <w:jc w:val="center"/>
              <w:rPr>
                <w:rFonts w:ascii="Arial" w:hAnsi="Arial" w:cs="Arial"/>
                <w:sz w:val="18"/>
                <w:szCs w:val="18"/>
              </w:rPr>
            </w:pPr>
            <w:r w:rsidRPr="009D0371">
              <w:rPr>
                <w:rFonts w:ascii="Arial" w:hAnsi="Arial" w:cs="Arial"/>
                <w:sz w:val="18"/>
                <w:szCs w:val="18"/>
              </w:rPr>
              <w:t xml:space="preserve">Declare this transportation in the </w:t>
            </w:r>
            <w:proofErr w:type="spellStart"/>
            <w:r w:rsidRPr="009D0371">
              <w:rPr>
                <w:rFonts w:ascii="Arial" w:hAnsi="Arial" w:cs="Arial"/>
                <w:sz w:val="18"/>
                <w:szCs w:val="18"/>
              </w:rPr>
              <w:t>Div</w:t>
            </w:r>
            <w:proofErr w:type="spellEnd"/>
            <w:r w:rsidRPr="009D0371">
              <w:rPr>
                <w:rFonts w:ascii="Arial" w:hAnsi="Arial" w:cs="Arial"/>
                <w:sz w:val="18"/>
                <w:szCs w:val="18"/>
              </w:rPr>
              <w:t xml:space="preserve"> 2.2 field</w:t>
            </w:r>
          </w:p>
          <w:p w:rsidR="000B75AB" w:rsidRPr="009D0371" w:rsidRDefault="000B75AB" w:rsidP="007C2CAA">
            <w:pPr>
              <w:kinsoku w:val="0"/>
              <w:overflowPunct w:val="0"/>
              <w:autoSpaceDE w:val="0"/>
              <w:autoSpaceDN w:val="0"/>
              <w:adjustRightInd w:val="0"/>
              <w:spacing w:after="0" w:line="206" w:lineRule="exact"/>
              <w:ind w:left="178" w:right="497"/>
              <w:jc w:val="center"/>
              <w:rPr>
                <w:rFonts w:ascii="Arial" w:hAnsi="Arial" w:cs="Arial"/>
                <w:sz w:val="18"/>
                <w:szCs w:val="18"/>
              </w:rPr>
            </w:pPr>
            <w:r w:rsidRPr="009D0371">
              <w:rPr>
                <w:rFonts w:ascii="Arial" w:hAnsi="Arial" w:cs="Arial"/>
                <w:sz w:val="18"/>
                <w:szCs w:val="18"/>
              </w:rPr>
              <w:t>And</w:t>
            </w:r>
          </w:p>
          <w:p w:rsidR="000B75AB" w:rsidRPr="009D0371" w:rsidRDefault="000B75AB" w:rsidP="007C2CAA">
            <w:pPr>
              <w:kinsoku w:val="0"/>
              <w:overflowPunct w:val="0"/>
              <w:autoSpaceDE w:val="0"/>
              <w:autoSpaceDN w:val="0"/>
              <w:adjustRightInd w:val="0"/>
              <w:spacing w:after="0" w:line="240" w:lineRule="auto"/>
              <w:ind w:left="147" w:right="467"/>
              <w:jc w:val="center"/>
              <w:rPr>
                <w:rFonts w:ascii="Arial" w:hAnsi="Arial" w:cs="Arial"/>
                <w:color w:val="000000"/>
                <w:spacing w:val="2"/>
                <w:sz w:val="18"/>
                <w:szCs w:val="18"/>
              </w:rPr>
            </w:pPr>
            <w:r w:rsidRPr="009D0371">
              <w:rPr>
                <w:rFonts w:ascii="Arial" w:hAnsi="Arial" w:cs="Arial"/>
                <w:sz w:val="18"/>
                <w:szCs w:val="18"/>
              </w:rPr>
              <w:t xml:space="preserve">If you </w:t>
            </w:r>
            <w:r w:rsidRPr="009D0371">
              <w:rPr>
                <w:rFonts w:ascii="Arial" w:hAnsi="Arial" w:cs="Arial"/>
                <w:spacing w:val="2"/>
                <w:sz w:val="18"/>
                <w:szCs w:val="18"/>
              </w:rPr>
              <w:t xml:space="preserve">currently hold </w:t>
            </w:r>
            <w:r w:rsidRPr="009D0371">
              <w:rPr>
                <w:rFonts w:ascii="Arial" w:hAnsi="Arial" w:cs="Arial"/>
                <w:sz w:val="18"/>
                <w:szCs w:val="18"/>
              </w:rPr>
              <w:t xml:space="preserve">a </w:t>
            </w:r>
            <w:r w:rsidRPr="009D0371">
              <w:rPr>
                <w:rFonts w:ascii="Arial" w:hAnsi="Arial" w:cs="Arial"/>
                <w:spacing w:val="2"/>
                <w:sz w:val="18"/>
                <w:szCs w:val="18"/>
              </w:rPr>
              <w:t xml:space="preserve">HMSP </w:t>
            </w:r>
            <w:r w:rsidRPr="009D0371">
              <w:rPr>
                <w:rFonts w:ascii="Arial" w:hAnsi="Arial" w:cs="Arial"/>
                <w:b/>
                <w:bCs/>
                <w:spacing w:val="2"/>
                <w:sz w:val="18"/>
                <w:szCs w:val="18"/>
              </w:rPr>
              <w:t xml:space="preserve">solely </w:t>
            </w:r>
            <w:r w:rsidRPr="009D0371">
              <w:rPr>
                <w:rFonts w:ascii="Arial" w:hAnsi="Arial" w:cs="Arial"/>
                <w:spacing w:val="2"/>
                <w:sz w:val="18"/>
                <w:szCs w:val="18"/>
              </w:rPr>
              <w:t xml:space="preserve">for </w:t>
            </w:r>
            <w:r w:rsidRPr="009D0371">
              <w:rPr>
                <w:rFonts w:ascii="Arial" w:hAnsi="Arial" w:cs="Arial"/>
                <w:sz w:val="18"/>
                <w:szCs w:val="18"/>
              </w:rPr>
              <w:t xml:space="preserve">the </w:t>
            </w:r>
            <w:r w:rsidRPr="009D0371">
              <w:rPr>
                <w:rFonts w:ascii="Arial" w:hAnsi="Arial" w:cs="Arial"/>
                <w:spacing w:val="2"/>
                <w:sz w:val="18"/>
                <w:szCs w:val="18"/>
              </w:rPr>
              <w:t xml:space="preserve">transportation </w:t>
            </w:r>
            <w:r w:rsidRPr="009D0371">
              <w:rPr>
                <w:rFonts w:ascii="Arial" w:hAnsi="Arial" w:cs="Arial"/>
                <w:sz w:val="18"/>
                <w:szCs w:val="18"/>
              </w:rPr>
              <w:t xml:space="preserve">of this </w:t>
            </w:r>
            <w:r w:rsidRPr="009D0371">
              <w:rPr>
                <w:rFonts w:ascii="Arial" w:hAnsi="Arial" w:cs="Arial"/>
                <w:spacing w:val="2"/>
                <w:sz w:val="18"/>
                <w:szCs w:val="18"/>
              </w:rPr>
              <w:t xml:space="preserve">material send </w:t>
            </w:r>
            <w:r w:rsidRPr="009D0371">
              <w:rPr>
                <w:rFonts w:ascii="Arial" w:hAnsi="Arial" w:cs="Arial"/>
                <w:sz w:val="18"/>
                <w:szCs w:val="18"/>
              </w:rPr>
              <w:t xml:space="preserve">an </w:t>
            </w:r>
            <w:r w:rsidRPr="009D0371">
              <w:rPr>
                <w:rFonts w:ascii="Arial" w:hAnsi="Arial" w:cs="Arial"/>
                <w:spacing w:val="2"/>
                <w:sz w:val="18"/>
                <w:szCs w:val="18"/>
              </w:rPr>
              <w:t xml:space="preserve">email </w:t>
            </w:r>
            <w:r w:rsidRPr="009D0371">
              <w:rPr>
                <w:rFonts w:ascii="Arial" w:hAnsi="Arial" w:cs="Arial"/>
                <w:sz w:val="18"/>
                <w:szCs w:val="18"/>
              </w:rPr>
              <w:t xml:space="preserve">to </w:t>
            </w:r>
            <w:hyperlink r:id="rId8" w:history="1">
              <w:r w:rsidRPr="009D0371">
                <w:rPr>
                  <w:rFonts w:ascii="Arial" w:hAnsi="Arial" w:cs="Arial"/>
                  <w:color w:val="0000FF"/>
                  <w:spacing w:val="2"/>
                  <w:sz w:val="18"/>
                  <w:szCs w:val="18"/>
                  <w:u w:val="single"/>
                </w:rPr>
                <w:t>fmcsa.hmsp@dot.gov</w:t>
              </w:r>
              <w:r w:rsidRPr="009D0371">
                <w:rPr>
                  <w:rFonts w:ascii="Arial" w:hAnsi="Arial" w:cs="Arial"/>
                  <w:color w:val="0000FF"/>
                  <w:spacing w:val="2"/>
                  <w:sz w:val="18"/>
                  <w:szCs w:val="18"/>
                </w:rPr>
                <w:t xml:space="preserve"> </w:t>
              </w:r>
            </w:hyperlink>
            <w:r w:rsidRPr="009D0371">
              <w:rPr>
                <w:rFonts w:ascii="Arial" w:hAnsi="Arial" w:cs="Arial"/>
                <w:color w:val="000000"/>
                <w:sz w:val="18"/>
                <w:szCs w:val="18"/>
              </w:rPr>
              <w:t xml:space="preserve">to have the </w:t>
            </w:r>
            <w:r w:rsidRPr="009D0371">
              <w:rPr>
                <w:rFonts w:ascii="Arial" w:hAnsi="Arial" w:cs="Arial"/>
                <w:color w:val="000000"/>
                <w:spacing w:val="2"/>
                <w:sz w:val="18"/>
                <w:szCs w:val="18"/>
              </w:rPr>
              <w:t xml:space="preserve">HMSP removed </w:t>
            </w:r>
            <w:r w:rsidRPr="009D0371">
              <w:rPr>
                <w:rFonts w:ascii="Arial" w:hAnsi="Arial" w:cs="Arial"/>
                <w:color w:val="000000"/>
                <w:sz w:val="18"/>
                <w:szCs w:val="18"/>
              </w:rPr>
              <w:t xml:space="preserve">from your </w:t>
            </w:r>
            <w:r w:rsidRPr="009D0371">
              <w:rPr>
                <w:rFonts w:ascii="Arial" w:hAnsi="Arial" w:cs="Arial"/>
                <w:color w:val="000000"/>
                <w:spacing w:val="2"/>
                <w:sz w:val="18"/>
                <w:szCs w:val="18"/>
              </w:rPr>
              <w:t xml:space="preserve">carrier record. </w:t>
            </w:r>
            <w:r w:rsidRPr="009D0371">
              <w:rPr>
                <w:rFonts w:ascii="Arial" w:hAnsi="Arial" w:cs="Arial"/>
                <w:color w:val="000000"/>
                <w:sz w:val="18"/>
                <w:szCs w:val="18"/>
              </w:rPr>
              <w:t xml:space="preserve">You </w:t>
            </w:r>
            <w:r w:rsidRPr="009D0371">
              <w:rPr>
                <w:rFonts w:ascii="Arial" w:hAnsi="Arial" w:cs="Arial"/>
                <w:color w:val="000000"/>
                <w:spacing w:val="2"/>
                <w:sz w:val="18"/>
                <w:szCs w:val="18"/>
              </w:rPr>
              <w:t xml:space="preserve">cannot </w:t>
            </w:r>
            <w:r w:rsidRPr="009D0371">
              <w:rPr>
                <w:rFonts w:ascii="Arial" w:hAnsi="Arial" w:cs="Arial"/>
                <w:color w:val="000000"/>
                <w:sz w:val="18"/>
                <w:szCs w:val="18"/>
              </w:rPr>
              <w:t xml:space="preserve">remove </w:t>
            </w:r>
            <w:r w:rsidRPr="009D0371">
              <w:rPr>
                <w:rFonts w:ascii="Arial" w:hAnsi="Arial" w:cs="Arial"/>
                <w:color w:val="000000"/>
                <w:spacing w:val="2"/>
                <w:sz w:val="18"/>
                <w:szCs w:val="18"/>
              </w:rPr>
              <w:t xml:space="preserve">yourself online. </w:t>
            </w:r>
            <w:r w:rsidRPr="009D0371">
              <w:rPr>
                <w:rFonts w:ascii="Arial" w:hAnsi="Arial" w:cs="Arial"/>
                <w:color w:val="000000"/>
                <w:sz w:val="18"/>
                <w:szCs w:val="18"/>
              </w:rPr>
              <w:t xml:space="preserve">The </w:t>
            </w:r>
            <w:r w:rsidRPr="009D0371">
              <w:rPr>
                <w:rFonts w:ascii="Arial" w:hAnsi="Arial" w:cs="Arial"/>
                <w:color w:val="000000"/>
                <w:spacing w:val="2"/>
                <w:sz w:val="18"/>
                <w:szCs w:val="18"/>
              </w:rPr>
              <w:t xml:space="preserve">email should include </w:t>
            </w:r>
            <w:r w:rsidRPr="009D0371">
              <w:rPr>
                <w:rFonts w:ascii="Arial" w:hAnsi="Arial" w:cs="Arial"/>
                <w:color w:val="000000"/>
                <w:sz w:val="18"/>
                <w:szCs w:val="18"/>
              </w:rPr>
              <w:t xml:space="preserve">your </w:t>
            </w:r>
            <w:r w:rsidRPr="009D0371">
              <w:rPr>
                <w:rFonts w:ascii="Arial" w:hAnsi="Arial" w:cs="Arial"/>
                <w:color w:val="000000"/>
                <w:spacing w:val="2"/>
                <w:sz w:val="18"/>
                <w:szCs w:val="18"/>
              </w:rPr>
              <w:t xml:space="preserve">company </w:t>
            </w:r>
            <w:r w:rsidRPr="009D0371">
              <w:rPr>
                <w:rFonts w:ascii="Arial" w:hAnsi="Arial" w:cs="Arial"/>
                <w:color w:val="000000"/>
                <w:spacing w:val="3"/>
                <w:sz w:val="18"/>
                <w:szCs w:val="18"/>
              </w:rPr>
              <w:t xml:space="preserve">name, </w:t>
            </w:r>
            <w:r w:rsidRPr="009D0371">
              <w:rPr>
                <w:rFonts w:ascii="Arial" w:hAnsi="Arial" w:cs="Arial"/>
                <w:color w:val="000000"/>
                <w:sz w:val="18"/>
                <w:szCs w:val="18"/>
              </w:rPr>
              <w:t xml:space="preserve">US </w:t>
            </w:r>
            <w:r w:rsidRPr="009D0371">
              <w:rPr>
                <w:rFonts w:ascii="Arial" w:hAnsi="Arial" w:cs="Arial"/>
                <w:color w:val="000000"/>
                <w:spacing w:val="2"/>
                <w:sz w:val="18"/>
                <w:szCs w:val="18"/>
              </w:rPr>
              <w:t xml:space="preserve">DOT number, </w:t>
            </w:r>
            <w:r w:rsidRPr="009D0371">
              <w:rPr>
                <w:rFonts w:ascii="Arial" w:hAnsi="Arial" w:cs="Arial"/>
                <w:color w:val="000000"/>
                <w:sz w:val="18"/>
                <w:szCs w:val="18"/>
              </w:rPr>
              <w:t xml:space="preserve">a </w:t>
            </w:r>
            <w:r w:rsidRPr="009D0371">
              <w:rPr>
                <w:rFonts w:ascii="Arial" w:hAnsi="Arial" w:cs="Arial"/>
                <w:color w:val="000000"/>
                <w:spacing w:val="2"/>
                <w:sz w:val="18"/>
                <w:szCs w:val="18"/>
              </w:rPr>
              <w:t xml:space="preserve">point </w:t>
            </w:r>
            <w:r w:rsidRPr="009D0371">
              <w:rPr>
                <w:rFonts w:ascii="Arial" w:hAnsi="Arial" w:cs="Arial"/>
                <w:color w:val="000000"/>
                <w:spacing w:val="3"/>
                <w:sz w:val="18"/>
                <w:szCs w:val="18"/>
              </w:rPr>
              <w:t xml:space="preserve">of </w:t>
            </w:r>
            <w:r w:rsidRPr="009D0371">
              <w:rPr>
                <w:rFonts w:ascii="Arial" w:hAnsi="Arial" w:cs="Arial"/>
                <w:color w:val="000000"/>
                <w:spacing w:val="2"/>
                <w:sz w:val="18"/>
                <w:szCs w:val="18"/>
              </w:rPr>
              <w:t xml:space="preserve">contact, </w:t>
            </w:r>
            <w:r w:rsidRPr="009D0371">
              <w:rPr>
                <w:rFonts w:ascii="Arial" w:hAnsi="Arial" w:cs="Arial"/>
                <w:color w:val="000000"/>
                <w:sz w:val="18"/>
                <w:szCs w:val="18"/>
              </w:rPr>
              <w:t xml:space="preserve">and a </w:t>
            </w:r>
            <w:r w:rsidRPr="009D0371">
              <w:rPr>
                <w:rFonts w:ascii="Arial" w:hAnsi="Arial" w:cs="Arial"/>
                <w:color w:val="000000"/>
                <w:spacing w:val="2"/>
                <w:sz w:val="18"/>
                <w:szCs w:val="18"/>
              </w:rPr>
              <w:t xml:space="preserve">statement that </w:t>
            </w:r>
            <w:r w:rsidRPr="009D0371">
              <w:rPr>
                <w:rFonts w:ascii="Arial" w:hAnsi="Arial" w:cs="Arial"/>
                <w:color w:val="000000"/>
                <w:sz w:val="18"/>
                <w:szCs w:val="18"/>
              </w:rPr>
              <w:t xml:space="preserve">you </w:t>
            </w:r>
            <w:r w:rsidRPr="009D0371">
              <w:rPr>
                <w:rFonts w:ascii="Arial" w:hAnsi="Arial" w:cs="Arial"/>
                <w:color w:val="000000"/>
                <w:spacing w:val="2"/>
                <w:sz w:val="18"/>
                <w:szCs w:val="18"/>
              </w:rPr>
              <w:t xml:space="preserve">only transport anhydrous ammonia using </w:t>
            </w:r>
            <w:r w:rsidRPr="009D0371">
              <w:rPr>
                <w:rFonts w:ascii="Arial" w:hAnsi="Arial" w:cs="Arial"/>
                <w:color w:val="000000"/>
                <w:sz w:val="18"/>
                <w:szCs w:val="18"/>
              </w:rPr>
              <w:t>the</w:t>
            </w:r>
            <w:r w:rsidRPr="009D0371">
              <w:rPr>
                <w:rFonts w:ascii="Arial" w:hAnsi="Arial" w:cs="Arial"/>
                <w:color w:val="000000"/>
                <w:spacing w:val="20"/>
                <w:sz w:val="18"/>
                <w:szCs w:val="18"/>
              </w:rPr>
              <w:t xml:space="preserve"> </w:t>
            </w:r>
            <w:r w:rsidRPr="009D0371">
              <w:rPr>
                <w:rFonts w:ascii="Arial" w:hAnsi="Arial" w:cs="Arial"/>
                <w:color w:val="000000"/>
                <w:spacing w:val="2"/>
                <w:sz w:val="18"/>
                <w:szCs w:val="18"/>
              </w:rPr>
              <w:t>domestic</w:t>
            </w:r>
          </w:p>
          <w:p w:rsidR="000B75AB" w:rsidRPr="009D0371" w:rsidRDefault="000B75AB" w:rsidP="007C2CAA">
            <w:pPr>
              <w:kinsoku w:val="0"/>
              <w:overflowPunct w:val="0"/>
              <w:autoSpaceDE w:val="0"/>
              <w:autoSpaceDN w:val="0"/>
              <w:adjustRightInd w:val="0"/>
              <w:spacing w:after="0" w:line="197" w:lineRule="exact"/>
              <w:ind w:left="178" w:right="494"/>
              <w:jc w:val="center"/>
              <w:rPr>
                <w:rFonts w:ascii="Arial" w:hAnsi="Arial" w:cs="Arial"/>
                <w:sz w:val="18"/>
                <w:szCs w:val="18"/>
              </w:rPr>
            </w:pPr>
            <w:r w:rsidRPr="009D0371">
              <w:rPr>
                <w:rFonts w:ascii="Arial" w:hAnsi="Arial" w:cs="Arial"/>
                <w:sz w:val="18"/>
                <w:szCs w:val="18"/>
              </w:rPr>
              <w:t>Division 2.2 description.</w:t>
            </w:r>
          </w:p>
        </w:tc>
      </w:tr>
      <w:tr w:rsidR="000B75AB" w:rsidRPr="009D0371" w:rsidTr="007C2CAA">
        <w:trPr>
          <w:trHeight w:val="2070"/>
        </w:trPr>
        <w:tc>
          <w:tcPr>
            <w:tcW w:w="1402" w:type="dxa"/>
            <w:vMerge/>
            <w:tcBorders>
              <w:top w:val="nil"/>
              <w:left w:val="single" w:sz="4" w:space="0" w:color="000000"/>
              <w:bottom w:val="double" w:sz="2" w:space="0" w:color="000000"/>
              <w:right w:val="single" w:sz="4" w:space="0" w:color="000000"/>
            </w:tcBorders>
          </w:tcPr>
          <w:p w:rsidR="000B75AB" w:rsidRPr="009D0371" w:rsidRDefault="000B75AB" w:rsidP="007C2CAA">
            <w:pPr>
              <w:autoSpaceDE w:val="0"/>
              <w:autoSpaceDN w:val="0"/>
              <w:adjustRightInd w:val="0"/>
              <w:spacing w:after="0" w:line="240" w:lineRule="auto"/>
              <w:rPr>
                <w:rFonts w:ascii="Times New Roman" w:hAnsi="Times New Roman" w:cs="Times New Roman"/>
                <w:sz w:val="2"/>
                <w:szCs w:val="2"/>
              </w:rPr>
            </w:pPr>
          </w:p>
        </w:tc>
        <w:tc>
          <w:tcPr>
            <w:tcW w:w="1551" w:type="dxa"/>
            <w:vMerge/>
            <w:tcBorders>
              <w:top w:val="nil"/>
              <w:left w:val="single" w:sz="4" w:space="0" w:color="000000"/>
              <w:bottom w:val="double" w:sz="2" w:space="0" w:color="000000"/>
              <w:right w:val="single" w:sz="4" w:space="0" w:color="000000"/>
            </w:tcBorders>
          </w:tcPr>
          <w:p w:rsidR="000B75AB" w:rsidRPr="009D0371" w:rsidRDefault="000B75AB" w:rsidP="007C2CAA">
            <w:pPr>
              <w:autoSpaceDE w:val="0"/>
              <w:autoSpaceDN w:val="0"/>
              <w:adjustRightInd w:val="0"/>
              <w:spacing w:after="0" w:line="240" w:lineRule="auto"/>
              <w:rPr>
                <w:rFonts w:ascii="Times New Roman" w:hAnsi="Times New Roman" w:cs="Times New Roman"/>
                <w:sz w:val="2"/>
                <w:szCs w:val="2"/>
              </w:rPr>
            </w:pPr>
          </w:p>
        </w:tc>
        <w:tc>
          <w:tcPr>
            <w:tcW w:w="3020" w:type="dxa"/>
            <w:tcBorders>
              <w:top w:val="double" w:sz="2" w:space="0" w:color="000000"/>
              <w:left w:val="single" w:sz="4" w:space="0" w:color="000000"/>
              <w:bottom w:val="double" w:sz="2"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rPr>
                <w:rFonts w:ascii="Times New Roman" w:hAnsi="Times New Roman" w:cs="Times New Roman"/>
                <w:sz w:val="20"/>
                <w:szCs w:val="20"/>
              </w:rPr>
            </w:pPr>
          </w:p>
          <w:p w:rsidR="000B75AB" w:rsidRPr="009D0371" w:rsidRDefault="000B75AB" w:rsidP="007C2CAA">
            <w:pPr>
              <w:kinsoku w:val="0"/>
              <w:overflowPunct w:val="0"/>
              <w:autoSpaceDE w:val="0"/>
              <w:autoSpaceDN w:val="0"/>
              <w:adjustRightInd w:val="0"/>
              <w:spacing w:after="0" w:line="240" w:lineRule="auto"/>
              <w:ind w:left="342" w:right="500"/>
              <w:jc w:val="center"/>
              <w:rPr>
                <w:rFonts w:ascii="Arial" w:hAnsi="Arial" w:cs="Arial"/>
                <w:sz w:val="18"/>
                <w:szCs w:val="18"/>
              </w:rPr>
            </w:pPr>
            <w:r w:rsidRPr="009D0371">
              <w:rPr>
                <w:rFonts w:ascii="Arial" w:hAnsi="Arial" w:cs="Arial"/>
                <w:sz w:val="18"/>
                <w:szCs w:val="18"/>
              </w:rPr>
              <w:t>If you transport anhydrous ammonia using the international Division 2.3 PIH Hazard Zone D description…</w:t>
            </w:r>
          </w:p>
        </w:tc>
        <w:tc>
          <w:tcPr>
            <w:tcW w:w="3020" w:type="dxa"/>
            <w:tcBorders>
              <w:top w:val="double" w:sz="2" w:space="0" w:color="000000"/>
              <w:left w:val="single" w:sz="4" w:space="0" w:color="000000"/>
              <w:bottom w:val="double" w:sz="2"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ind w:left="178" w:right="500"/>
              <w:jc w:val="center"/>
              <w:rPr>
                <w:rFonts w:ascii="Arial" w:hAnsi="Arial" w:cs="Arial"/>
                <w:sz w:val="18"/>
                <w:szCs w:val="18"/>
              </w:rPr>
            </w:pPr>
            <w:r w:rsidRPr="009D0371">
              <w:rPr>
                <w:rFonts w:ascii="Arial" w:hAnsi="Arial" w:cs="Arial"/>
                <w:sz w:val="18"/>
                <w:szCs w:val="18"/>
              </w:rPr>
              <w:t xml:space="preserve">Declare this transportation in the </w:t>
            </w:r>
            <w:proofErr w:type="spellStart"/>
            <w:r w:rsidRPr="009D0371">
              <w:rPr>
                <w:rFonts w:ascii="Arial" w:hAnsi="Arial" w:cs="Arial"/>
                <w:sz w:val="18"/>
                <w:szCs w:val="18"/>
              </w:rPr>
              <w:t>Div</w:t>
            </w:r>
            <w:proofErr w:type="spellEnd"/>
            <w:r w:rsidRPr="009D0371">
              <w:rPr>
                <w:rFonts w:ascii="Arial" w:hAnsi="Arial" w:cs="Arial"/>
                <w:sz w:val="18"/>
                <w:szCs w:val="18"/>
              </w:rPr>
              <w:t xml:space="preserve"> 2.3D field</w:t>
            </w:r>
          </w:p>
          <w:p w:rsidR="000B75AB" w:rsidRPr="009D0371" w:rsidRDefault="000B75AB" w:rsidP="007C2CAA">
            <w:pPr>
              <w:kinsoku w:val="0"/>
              <w:overflowPunct w:val="0"/>
              <w:autoSpaceDE w:val="0"/>
              <w:autoSpaceDN w:val="0"/>
              <w:adjustRightInd w:val="0"/>
              <w:spacing w:after="0" w:line="207" w:lineRule="exact"/>
              <w:ind w:left="178" w:right="497"/>
              <w:jc w:val="center"/>
              <w:rPr>
                <w:rFonts w:ascii="Arial" w:hAnsi="Arial" w:cs="Arial"/>
                <w:sz w:val="18"/>
                <w:szCs w:val="18"/>
              </w:rPr>
            </w:pPr>
            <w:r w:rsidRPr="009D0371">
              <w:rPr>
                <w:rFonts w:ascii="Arial" w:hAnsi="Arial" w:cs="Arial"/>
                <w:sz w:val="18"/>
                <w:szCs w:val="18"/>
              </w:rPr>
              <w:t>And</w:t>
            </w:r>
          </w:p>
          <w:p w:rsidR="000B75AB" w:rsidRPr="009D0371" w:rsidRDefault="000B75AB" w:rsidP="007C2CAA">
            <w:pPr>
              <w:kinsoku w:val="0"/>
              <w:overflowPunct w:val="0"/>
              <w:autoSpaceDE w:val="0"/>
              <w:autoSpaceDN w:val="0"/>
              <w:adjustRightInd w:val="0"/>
              <w:spacing w:after="0" w:line="240" w:lineRule="auto"/>
              <w:ind w:left="214" w:right="534"/>
              <w:jc w:val="center"/>
              <w:rPr>
                <w:rFonts w:ascii="Arial" w:hAnsi="Arial" w:cs="Arial"/>
                <w:sz w:val="18"/>
                <w:szCs w:val="18"/>
              </w:rPr>
            </w:pPr>
            <w:r w:rsidRPr="009D0371">
              <w:rPr>
                <w:rFonts w:ascii="Arial" w:hAnsi="Arial" w:cs="Arial"/>
                <w:sz w:val="18"/>
                <w:szCs w:val="18"/>
              </w:rPr>
              <w:t>If you transport this material in a packaging having a capacity equal to or greater than 3,500 gallons, ensure that you currently hold or</w:t>
            </w:r>
          </w:p>
          <w:p w:rsidR="000B75AB" w:rsidRPr="009D0371" w:rsidRDefault="000B75AB" w:rsidP="007C2CAA">
            <w:pPr>
              <w:kinsoku w:val="0"/>
              <w:overflowPunct w:val="0"/>
              <w:autoSpaceDE w:val="0"/>
              <w:autoSpaceDN w:val="0"/>
              <w:adjustRightInd w:val="0"/>
              <w:spacing w:after="0" w:line="206" w:lineRule="exact"/>
              <w:ind w:left="110" w:right="433" w:firstLine="2"/>
              <w:jc w:val="center"/>
              <w:rPr>
                <w:rFonts w:ascii="Arial" w:hAnsi="Arial" w:cs="Arial"/>
                <w:sz w:val="18"/>
                <w:szCs w:val="18"/>
              </w:rPr>
            </w:pPr>
            <w:r w:rsidRPr="009D0371">
              <w:rPr>
                <w:rFonts w:ascii="Arial" w:hAnsi="Arial" w:cs="Arial"/>
                <w:sz w:val="18"/>
                <w:szCs w:val="18"/>
              </w:rPr>
              <w:t>apply for a HMSP for the transportation of this material.</w:t>
            </w:r>
          </w:p>
        </w:tc>
      </w:tr>
      <w:tr w:rsidR="000B75AB" w:rsidRPr="009D0371" w:rsidTr="007C2CAA">
        <w:trPr>
          <w:trHeight w:val="3726"/>
        </w:trPr>
        <w:tc>
          <w:tcPr>
            <w:tcW w:w="1402" w:type="dxa"/>
            <w:tcBorders>
              <w:top w:val="double" w:sz="2" w:space="0" w:color="000000"/>
              <w:left w:val="single" w:sz="4" w:space="0" w:color="000000"/>
              <w:bottom w:val="single" w:sz="4"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rPr>
                <w:rFonts w:ascii="Times New Roman" w:hAnsi="Times New Roman" w:cs="Times New Roman"/>
                <w:sz w:val="20"/>
                <w:szCs w:val="20"/>
              </w:rPr>
            </w:pPr>
          </w:p>
          <w:p w:rsidR="000B75AB" w:rsidRPr="009D0371" w:rsidRDefault="000B75AB" w:rsidP="007C2CAA">
            <w:pPr>
              <w:kinsoku w:val="0"/>
              <w:overflowPunct w:val="0"/>
              <w:autoSpaceDE w:val="0"/>
              <w:autoSpaceDN w:val="0"/>
              <w:adjustRightInd w:val="0"/>
              <w:spacing w:before="163" w:after="0" w:line="240" w:lineRule="auto"/>
              <w:ind w:left="455" w:right="367" w:hanging="291"/>
              <w:rPr>
                <w:rFonts w:ascii="Arial" w:hAnsi="Arial" w:cs="Arial"/>
                <w:sz w:val="18"/>
                <w:szCs w:val="18"/>
              </w:rPr>
            </w:pPr>
            <w:r w:rsidRPr="009D0371">
              <w:rPr>
                <w:rFonts w:ascii="Arial" w:hAnsi="Arial" w:cs="Arial"/>
                <w:sz w:val="18"/>
                <w:szCs w:val="18"/>
              </w:rPr>
              <w:t>Class 3A or</w:t>
            </w:r>
          </w:p>
          <w:p w:rsidR="000B75AB" w:rsidRPr="009D0371" w:rsidRDefault="000B75AB" w:rsidP="007C2CAA">
            <w:pPr>
              <w:kinsoku w:val="0"/>
              <w:overflowPunct w:val="0"/>
              <w:autoSpaceDE w:val="0"/>
              <w:autoSpaceDN w:val="0"/>
              <w:adjustRightInd w:val="0"/>
              <w:spacing w:after="0" w:line="206" w:lineRule="exact"/>
              <w:ind w:left="165"/>
              <w:rPr>
                <w:rFonts w:ascii="Arial" w:hAnsi="Arial" w:cs="Arial"/>
                <w:sz w:val="18"/>
                <w:szCs w:val="18"/>
              </w:rPr>
            </w:pPr>
            <w:r w:rsidRPr="009D0371">
              <w:rPr>
                <w:rFonts w:ascii="Arial" w:hAnsi="Arial" w:cs="Arial"/>
                <w:sz w:val="18"/>
                <w:szCs w:val="18"/>
              </w:rPr>
              <w:t>Class 3B</w:t>
            </w:r>
          </w:p>
        </w:tc>
        <w:tc>
          <w:tcPr>
            <w:tcW w:w="1551" w:type="dxa"/>
            <w:tcBorders>
              <w:top w:val="double" w:sz="2" w:space="0" w:color="000000"/>
              <w:left w:val="single" w:sz="4" w:space="0" w:color="000000"/>
              <w:bottom w:val="single" w:sz="4"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rPr>
                <w:rFonts w:ascii="Times New Roman" w:hAnsi="Times New Roman" w:cs="Times New Roman"/>
                <w:sz w:val="20"/>
                <w:szCs w:val="20"/>
              </w:rPr>
            </w:pPr>
          </w:p>
          <w:p w:rsidR="000B75AB" w:rsidRPr="009D0371" w:rsidRDefault="000B75AB" w:rsidP="007C2CAA">
            <w:pPr>
              <w:kinsoku w:val="0"/>
              <w:overflowPunct w:val="0"/>
              <w:autoSpaceDE w:val="0"/>
              <w:autoSpaceDN w:val="0"/>
              <w:adjustRightInd w:val="0"/>
              <w:spacing w:after="0" w:line="240" w:lineRule="auto"/>
              <w:ind w:left="124" w:right="442"/>
              <w:jc w:val="center"/>
              <w:rPr>
                <w:rFonts w:ascii="Arial" w:hAnsi="Arial" w:cs="Arial"/>
                <w:sz w:val="18"/>
                <w:szCs w:val="18"/>
              </w:rPr>
            </w:pPr>
            <w:r w:rsidRPr="009D0371">
              <w:rPr>
                <w:rFonts w:ascii="Arial" w:hAnsi="Arial" w:cs="Arial"/>
                <w:sz w:val="18"/>
                <w:szCs w:val="18"/>
              </w:rPr>
              <w:t>Delete all information in the Class 3A and Class 3B fields</w:t>
            </w:r>
          </w:p>
        </w:tc>
        <w:tc>
          <w:tcPr>
            <w:tcW w:w="3020" w:type="dxa"/>
            <w:tcBorders>
              <w:top w:val="double" w:sz="2" w:space="0" w:color="000000"/>
              <w:left w:val="single" w:sz="4" w:space="0" w:color="000000"/>
              <w:bottom w:val="single" w:sz="4"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ind w:left="178" w:right="497"/>
              <w:jc w:val="center"/>
              <w:rPr>
                <w:rFonts w:ascii="Arial" w:hAnsi="Arial" w:cs="Arial"/>
                <w:sz w:val="18"/>
                <w:szCs w:val="18"/>
              </w:rPr>
            </w:pPr>
            <w:r w:rsidRPr="009D0371">
              <w:rPr>
                <w:rFonts w:ascii="Arial" w:hAnsi="Arial" w:cs="Arial"/>
                <w:sz w:val="18"/>
                <w:szCs w:val="18"/>
              </w:rPr>
              <w:t>Declare the transportation of all Class 3 flammable liquids in the Class 3 field</w:t>
            </w:r>
          </w:p>
          <w:p w:rsidR="000B75AB" w:rsidRPr="009D0371" w:rsidRDefault="000B75AB" w:rsidP="007C2CAA">
            <w:pPr>
              <w:kinsoku w:val="0"/>
              <w:overflowPunct w:val="0"/>
              <w:autoSpaceDE w:val="0"/>
              <w:autoSpaceDN w:val="0"/>
              <w:adjustRightInd w:val="0"/>
              <w:spacing w:after="0" w:line="207" w:lineRule="exact"/>
              <w:ind w:left="178" w:right="493"/>
              <w:jc w:val="center"/>
              <w:rPr>
                <w:rFonts w:ascii="Arial" w:hAnsi="Arial" w:cs="Arial"/>
                <w:sz w:val="18"/>
                <w:szCs w:val="18"/>
              </w:rPr>
            </w:pPr>
            <w:r w:rsidRPr="009D0371">
              <w:rPr>
                <w:rFonts w:ascii="Arial" w:hAnsi="Arial" w:cs="Arial"/>
                <w:sz w:val="18"/>
                <w:szCs w:val="18"/>
              </w:rPr>
              <w:t>And</w:t>
            </w:r>
          </w:p>
          <w:p w:rsidR="000B75AB" w:rsidRPr="009D0371" w:rsidRDefault="000B75AB" w:rsidP="007C2CAA">
            <w:pPr>
              <w:kinsoku w:val="0"/>
              <w:overflowPunct w:val="0"/>
              <w:autoSpaceDE w:val="0"/>
              <w:autoSpaceDN w:val="0"/>
              <w:adjustRightInd w:val="0"/>
              <w:spacing w:after="0" w:line="240" w:lineRule="auto"/>
              <w:ind w:left="114" w:right="436" w:firstLine="2"/>
              <w:jc w:val="center"/>
              <w:rPr>
                <w:rFonts w:ascii="Arial" w:hAnsi="Arial" w:cs="Arial"/>
                <w:color w:val="000000"/>
                <w:spacing w:val="2"/>
                <w:sz w:val="18"/>
                <w:szCs w:val="18"/>
              </w:rPr>
            </w:pPr>
            <w:r w:rsidRPr="009D0371">
              <w:rPr>
                <w:rFonts w:ascii="Arial" w:hAnsi="Arial" w:cs="Arial"/>
                <w:sz w:val="18"/>
                <w:szCs w:val="18"/>
              </w:rPr>
              <w:t xml:space="preserve">If you </w:t>
            </w:r>
            <w:r w:rsidRPr="009D0371">
              <w:rPr>
                <w:rFonts w:ascii="Arial" w:hAnsi="Arial" w:cs="Arial"/>
                <w:spacing w:val="2"/>
                <w:sz w:val="18"/>
                <w:szCs w:val="18"/>
              </w:rPr>
              <w:t xml:space="preserve">currently hold </w:t>
            </w:r>
            <w:r w:rsidRPr="009D0371">
              <w:rPr>
                <w:rFonts w:ascii="Arial" w:hAnsi="Arial" w:cs="Arial"/>
                <w:sz w:val="18"/>
                <w:szCs w:val="18"/>
              </w:rPr>
              <w:t xml:space="preserve">a </w:t>
            </w:r>
            <w:r w:rsidRPr="009D0371">
              <w:rPr>
                <w:rFonts w:ascii="Arial" w:hAnsi="Arial" w:cs="Arial"/>
                <w:spacing w:val="2"/>
                <w:sz w:val="18"/>
                <w:szCs w:val="18"/>
              </w:rPr>
              <w:t xml:space="preserve">HMSP </w:t>
            </w:r>
            <w:r w:rsidRPr="009D0371">
              <w:rPr>
                <w:rFonts w:ascii="Arial" w:hAnsi="Arial" w:cs="Arial"/>
                <w:b/>
                <w:bCs/>
                <w:spacing w:val="2"/>
                <w:sz w:val="18"/>
                <w:szCs w:val="18"/>
              </w:rPr>
              <w:t xml:space="preserve">solely </w:t>
            </w:r>
            <w:r w:rsidRPr="009D0371">
              <w:rPr>
                <w:rFonts w:ascii="Arial" w:hAnsi="Arial" w:cs="Arial"/>
                <w:spacing w:val="2"/>
                <w:sz w:val="18"/>
                <w:szCs w:val="18"/>
              </w:rPr>
              <w:t xml:space="preserve">for </w:t>
            </w:r>
            <w:r w:rsidRPr="009D0371">
              <w:rPr>
                <w:rFonts w:ascii="Arial" w:hAnsi="Arial" w:cs="Arial"/>
                <w:sz w:val="18"/>
                <w:szCs w:val="18"/>
              </w:rPr>
              <w:t xml:space="preserve">the </w:t>
            </w:r>
            <w:r w:rsidRPr="009D0371">
              <w:rPr>
                <w:rFonts w:ascii="Arial" w:hAnsi="Arial" w:cs="Arial"/>
                <w:spacing w:val="2"/>
                <w:sz w:val="18"/>
                <w:szCs w:val="18"/>
              </w:rPr>
              <w:t xml:space="preserve">transportation </w:t>
            </w:r>
            <w:r w:rsidRPr="009D0371">
              <w:rPr>
                <w:rFonts w:ascii="Arial" w:hAnsi="Arial" w:cs="Arial"/>
                <w:sz w:val="18"/>
                <w:szCs w:val="18"/>
              </w:rPr>
              <w:t xml:space="preserve">of one or both of </w:t>
            </w:r>
            <w:r w:rsidRPr="009D0371">
              <w:rPr>
                <w:rFonts w:ascii="Arial" w:hAnsi="Arial" w:cs="Arial"/>
                <w:spacing w:val="2"/>
                <w:sz w:val="18"/>
                <w:szCs w:val="18"/>
              </w:rPr>
              <w:t xml:space="preserve">these materials, send </w:t>
            </w:r>
            <w:r w:rsidRPr="009D0371">
              <w:rPr>
                <w:rFonts w:ascii="Arial" w:hAnsi="Arial" w:cs="Arial"/>
                <w:sz w:val="18"/>
                <w:szCs w:val="18"/>
              </w:rPr>
              <w:t xml:space="preserve">an </w:t>
            </w:r>
            <w:r w:rsidRPr="009D0371">
              <w:rPr>
                <w:rFonts w:ascii="Arial" w:hAnsi="Arial" w:cs="Arial"/>
                <w:spacing w:val="2"/>
                <w:sz w:val="18"/>
                <w:szCs w:val="18"/>
              </w:rPr>
              <w:t xml:space="preserve">email </w:t>
            </w:r>
            <w:r w:rsidRPr="009D0371">
              <w:rPr>
                <w:rFonts w:ascii="Arial" w:hAnsi="Arial" w:cs="Arial"/>
                <w:sz w:val="18"/>
                <w:szCs w:val="18"/>
              </w:rPr>
              <w:t xml:space="preserve">to </w:t>
            </w:r>
            <w:hyperlink r:id="rId9" w:history="1">
              <w:r w:rsidRPr="009D0371">
                <w:rPr>
                  <w:rFonts w:ascii="Arial" w:hAnsi="Arial" w:cs="Arial"/>
                  <w:color w:val="0000FF"/>
                  <w:spacing w:val="2"/>
                  <w:sz w:val="18"/>
                  <w:szCs w:val="18"/>
                  <w:u w:val="single"/>
                </w:rPr>
                <w:t>fmcsa.hmsp@dot.gov</w:t>
              </w:r>
              <w:r w:rsidRPr="009D0371">
                <w:rPr>
                  <w:rFonts w:ascii="Arial" w:hAnsi="Arial" w:cs="Arial"/>
                  <w:color w:val="0000FF"/>
                  <w:spacing w:val="2"/>
                  <w:sz w:val="18"/>
                  <w:szCs w:val="18"/>
                </w:rPr>
                <w:t xml:space="preserve"> </w:t>
              </w:r>
            </w:hyperlink>
            <w:r w:rsidRPr="009D0371">
              <w:rPr>
                <w:rFonts w:ascii="Arial" w:hAnsi="Arial" w:cs="Arial"/>
                <w:color w:val="000000"/>
                <w:sz w:val="18"/>
                <w:szCs w:val="18"/>
              </w:rPr>
              <w:t xml:space="preserve">to </w:t>
            </w:r>
            <w:r w:rsidRPr="009D0371">
              <w:rPr>
                <w:rFonts w:ascii="Arial" w:hAnsi="Arial" w:cs="Arial"/>
                <w:color w:val="000000"/>
                <w:spacing w:val="2"/>
                <w:sz w:val="18"/>
                <w:szCs w:val="18"/>
              </w:rPr>
              <w:t xml:space="preserve">have </w:t>
            </w:r>
            <w:r w:rsidRPr="009D0371">
              <w:rPr>
                <w:rFonts w:ascii="Arial" w:hAnsi="Arial" w:cs="Arial"/>
                <w:color w:val="000000"/>
                <w:sz w:val="18"/>
                <w:szCs w:val="18"/>
              </w:rPr>
              <w:t xml:space="preserve">the HMSP </w:t>
            </w:r>
            <w:r w:rsidRPr="009D0371">
              <w:rPr>
                <w:rFonts w:ascii="Arial" w:hAnsi="Arial" w:cs="Arial"/>
                <w:color w:val="000000"/>
                <w:spacing w:val="2"/>
                <w:sz w:val="18"/>
                <w:szCs w:val="18"/>
              </w:rPr>
              <w:t xml:space="preserve">removed </w:t>
            </w:r>
            <w:r w:rsidRPr="009D0371">
              <w:rPr>
                <w:rFonts w:ascii="Arial" w:hAnsi="Arial" w:cs="Arial"/>
                <w:color w:val="000000"/>
                <w:sz w:val="18"/>
                <w:szCs w:val="18"/>
              </w:rPr>
              <w:t xml:space="preserve">from </w:t>
            </w:r>
            <w:r w:rsidRPr="009D0371">
              <w:rPr>
                <w:rFonts w:ascii="Arial" w:hAnsi="Arial" w:cs="Arial"/>
                <w:color w:val="000000"/>
                <w:spacing w:val="2"/>
                <w:sz w:val="18"/>
                <w:szCs w:val="18"/>
              </w:rPr>
              <w:t xml:space="preserve">your carrier record. </w:t>
            </w:r>
            <w:r w:rsidRPr="009D0371">
              <w:rPr>
                <w:rFonts w:ascii="Arial" w:hAnsi="Arial" w:cs="Arial"/>
                <w:color w:val="000000"/>
                <w:sz w:val="18"/>
                <w:szCs w:val="18"/>
              </w:rPr>
              <w:t xml:space="preserve">You </w:t>
            </w:r>
            <w:r w:rsidRPr="009D0371">
              <w:rPr>
                <w:rFonts w:ascii="Arial" w:hAnsi="Arial" w:cs="Arial"/>
                <w:color w:val="000000"/>
                <w:spacing w:val="3"/>
                <w:sz w:val="18"/>
                <w:szCs w:val="18"/>
              </w:rPr>
              <w:t xml:space="preserve">cannot </w:t>
            </w:r>
            <w:r w:rsidRPr="009D0371">
              <w:rPr>
                <w:rFonts w:ascii="Arial" w:hAnsi="Arial" w:cs="Arial"/>
                <w:color w:val="000000"/>
                <w:sz w:val="18"/>
                <w:szCs w:val="18"/>
              </w:rPr>
              <w:t xml:space="preserve">remove </w:t>
            </w:r>
            <w:r w:rsidRPr="009D0371">
              <w:rPr>
                <w:rFonts w:ascii="Arial" w:hAnsi="Arial" w:cs="Arial"/>
                <w:color w:val="000000"/>
                <w:spacing w:val="2"/>
                <w:sz w:val="18"/>
                <w:szCs w:val="18"/>
              </w:rPr>
              <w:t xml:space="preserve">yourself online. </w:t>
            </w:r>
            <w:r w:rsidRPr="009D0371">
              <w:rPr>
                <w:rFonts w:ascii="Arial" w:hAnsi="Arial" w:cs="Arial"/>
                <w:color w:val="000000"/>
                <w:sz w:val="18"/>
                <w:szCs w:val="18"/>
              </w:rPr>
              <w:t xml:space="preserve">The </w:t>
            </w:r>
            <w:r w:rsidRPr="009D0371">
              <w:rPr>
                <w:rFonts w:ascii="Arial" w:hAnsi="Arial" w:cs="Arial"/>
                <w:color w:val="000000"/>
                <w:spacing w:val="2"/>
                <w:sz w:val="18"/>
                <w:szCs w:val="18"/>
              </w:rPr>
              <w:t xml:space="preserve">email should include your company name, </w:t>
            </w:r>
            <w:r w:rsidRPr="009D0371">
              <w:rPr>
                <w:rFonts w:ascii="Arial" w:hAnsi="Arial" w:cs="Arial"/>
                <w:color w:val="000000"/>
                <w:sz w:val="18"/>
                <w:szCs w:val="18"/>
              </w:rPr>
              <w:t xml:space="preserve">US </w:t>
            </w:r>
            <w:r w:rsidRPr="009D0371">
              <w:rPr>
                <w:rFonts w:ascii="Arial" w:hAnsi="Arial" w:cs="Arial"/>
                <w:color w:val="000000"/>
                <w:spacing w:val="2"/>
                <w:sz w:val="18"/>
                <w:szCs w:val="18"/>
              </w:rPr>
              <w:t xml:space="preserve">DOT number, </w:t>
            </w:r>
            <w:r w:rsidRPr="009D0371">
              <w:rPr>
                <w:rFonts w:ascii="Arial" w:hAnsi="Arial" w:cs="Arial"/>
                <w:color w:val="000000"/>
                <w:sz w:val="18"/>
                <w:szCs w:val="18"/>
              </w:rPr>
              <w:t xml:space="preserve">a </w:t>
            </w:r>
            <w:r w:rsidRPr="009D0371">
              <w:rPr>
                <w:rFonts w:ascii="Arial" w:hAnsi="Arial" w:cs="Arial"/>
                <w:color w:val="000000"/>
                <w:spacing w:val="2"/>
                <w:sz w:val="18"/>
                <w:szCs w:val="18"/>
              </w:rPr>
              <w:t xml:space="preserve">point </w:t>
            </w:r>
            <w:r w:rsidRPr="009D0371">
              <w:rPr>
                <w:rFonts w:ascii="Arial" w:hAnsi="Arial" w:cs="Arial"/>
                <w:color w:val="000000"/>
                <w:sz w:val="18"/>
                <w:szCs w:val="18"/>
              </w:rPr>
              <w:t xml:space="preserve">of </w:t>
            </w:r>
            <w:r w:rsidRPr="009D0371">
              <w:rPr>
                <w:rFonts w:ascii="Arial" w:hAnsi="Arial" w:cs="Arial"/>
                <w:color w:val="000000"/>
                <w:spacing w:val="2"/>
                <w:sz w:val="18"/>
                <w:szCs w:val="18"/>
              </w:rPr>
              <w:t xml:space="preserve">contact, </w:t>
            </w:r>
            <w:r w:rsidRPr="009D0371">
              <w:rPr>
                <w:rFonts w:ascii="Arial" w:hAnsi="Arial" w:cs="Arial"/>
                <w:color w:val="000000"/>
                <w:sz w:val="18"/>
                <w:szCs w:val="18"/>
              </w:rPr>
              <w:t xml:space="preserve">and a </w:t>
            </w:r>
            <w:r w:rsidRPr="009D0371">
              <w:rPr>
                <w:rFonts w:ascii="Arial" w:hAnsi="Arial" w:cs="Arial"/>
                <w:color w:val="000000"/>
                <w:spacing w:val="2"/>
                <w:sz w:val="18"/>
                <w:szCs w:val="18"/>
              </w:rPr>
              <w:t xml:space="preserve">statement </w:t>
            </w:r>
            <w:r w:rsidRPr="009D0371">
              <w:rPr>
                <w:rFonts w:ascii="Arial" w:hAnsi="Arial" w:cs="Arial"/>
                <w:color w:val="000000"/>
                <w:sz w:val="18"/>
                <w:szCs w:val="18"/>
              </w:rPr>
              <w:t xml:space="preserve">that you </w:t>
            </w:r>
            <w:r w:rsidRPr="009D0371">
              <w:rPr>
                <w:rFonts w:ascii="Arial" w:hAnsi="Arial" w:cs="Arial"/>
                <w:color w:val="000000"/>
                <w:spacing w:val="3"/>
                <w:sz w:val="18"/>
                <w:szCs w:val="18"/>
              </w:rPr>
              <w:t xml:space="preserve">do </w:t>
            </w:r>
            <w:r w:rsidRPr="009D0371">
              <w:rPr>
                <w:rFonts w:ascii="Arial" w:hAnsi="Arial" w:cs="Arial"/>
                <w:color w:val="000000"/>
                <w:sz w:val="18"/>
                <w:szCs w:val="18"/>
              </w:rPr>
              <w:t xml:space="preserve">not </w:t>
            </w:r>
            <w:r w:rsidRPr="009D0371">
              <w:rPr>
                <w:rFonts w:ascii="Arial" w:hAnsi="Arial" w:cs="Arial"/>
                <w:color w:val="000000"/>
                <w:spacing w:val="2"/>
                <w:sz w:val="18"/>
                <w:szCs w:val="18"/>
              </w:rPr>
              <w:t xml:space="preserve">transport Class </w:t>
            </w:r>
            <w:r w:rsidRPr="009D0371">
              <w:rPr>
                <w:rFonts w:ascii="Arial" w:hAnsi="Arial" w:cs="Arial"/>
                <w:color w:val="000000"/>
                <w:sz w:val="18"/>
                <w:szCs w:val="18"/>
              </w:rPr>
              <w:t>3A</w:t>
            </w:r>
            <w:r w:rsidRPr="009D0371">
              <w:rPr>
                <w:rFonts w:ascii="Arial" w:hAnsi="Arial" w:cs="Arial"/>
                <w:color w:val="000000"/>
                <w:spacing w:val="33"/>
                <w:sz w:val="18"/>
                <w:szCs w:val="18"/>
              </w:rPr>
              <w:t xml:space="preserve"> </w:t>
            </w:r>
            <w:r w:rsidRPr="009D0371">
              <w:rPr>
                <w:rFonts w:ascii="Arial" w:hAnsi="Arial" w:cs="Arial"/>
                <w:color w:val="000000"/>
                <w:spacing w:val="2"/>
                <w:sz w:val="18"/>
                <w:szCs w:val="18"/>
              </w:rPr>
              <w:t>and/or</w:t>
            </w:r>
          </w:p>
          <w:p w:rsidR="000B75AB" w:rsidRPr="009D0371" w:rsidRDefault="000B75AB" w:rsidP="007C2CAA">
            <w:pPr>
              <w:kinsoku w:val="0"/>
              <w:overflowPunct w:val="0"/>
              <w:autoSpaceDE w:val="0"/>
              <w:autoSpaceDN w:val="0"/>
              <w:adjustRightInd w:val="0"/>
              <w:spacing w:after="0" w:line="197" w:lineRule="exact"/>
              <w:ind w:left="178" w:right="498"/>
              <w:jc w:val="center"/>
              <w:rPr>
                <w:rFonts w:ascii="Arial" w:hAnsi="Arial" w:cs="Arial"/>
                <w:sz w:val="18"/>
                <w:szCs w:val="18"/>
              </w:rPr>
            </w:pPr>
            <w:r w:rsidRPr="009D0371">
              <w:rPr>
                <w:rFonts w:ascii="Arial" w:hAnsi="Arial" w:cs="Arial"/>
                <w:sz w:val="18"/>
                <w:szCs w:val="18"/>
              </w:rPr>
              <w:t>3B materials.</w:t>
            </w:r>
          </w:p>
        </w:tc>
        <w:tc>
          <w:tcPr>
            <w:tcW w:w="3020" w:type="dxa"/>
            <w:tcBorders>
              <w:top w:val="double" w:sz="2" w:space="0" w:color="000000"/>
              <w:left w:val="single" w:sz="4" w:space="0" w:color="000000"/>
              <w:bottom w:val="single" w:sz="4" w:space="0" w:color="000000"/>
              <w:right w:val="single" w:sz="4" w:space="0" w:color="000000"/>
            </w:tcBorders>
          </w:tcPr>
          <w:p w:rsidR="000B75AB" w:rsidRPr="009D0371" w:rsidRDefault="000B75AB" w:rsidP="007C2CAA">
            <w:pPr>
              <w:kinsoku w:val="0"/>
              <w:overflowPunct w:val="0"/>
              <w:autoSpaceDE w:val="0"/>
              <w:autoSpaceDN w:val="0"/>
              <w:adjustRightInd w:val="0"/>
              <w:spacing w:after="0" w:line="240" w:lineRule="auto"/>
              <w:rPr>
                <w:rFonts w:ascii="Times New Roman" w:hAnsi="Times New Roman" w:cs="Times New Roman"/>
                <w:sz w:val="18"/>
                <w:szCs w:val="18"/>
              </w:rPr>
            </w:pPr>
          </w:p>
        </w:tc>
      </w:tr>
    </w:tbl>
    <w:p w:rsidR="000B75AB" w:rsidRPr="001E745B" w:rsidRDefault="000B75AB" w:rsidP="000B75AB">
      <w:pPr>
        <w:rPr>
          <w:bCs/>
          <w:sz w:val="28"/>
          <w:szCs w:val="28"/>
        </w:rPr>
      </w:pPr>
    </w:p>
    <w:p w:rsidR="000B75AB" w:rsidRPr="001E745B" w:rsidRDefault="000B75AB" w:rsidP="000B75AB">
      <w:pPr>
        <w:rPr>
          <w:b/>
          <w:bCs/>
          <w:sz w:val="28"/>
          <w:szCs w:val="28"/>
        </w:rPr>
      </w:pPr>
      <w:r w:rsidRPr="001E745B">
        <w:rPr>
          <w:b/>
          <w:bCs/>
          <w:sz w:val="28"/>
          <w:szCs w:val="28"/>
        </w:rPr>
        <w:t xml:space="preserve">These updates must be completed prior to July 31, 2019. After that date, the affected data fields will no longer be used or accessible by the user. </w:t>
      </w:r>
    </w:p>
    <w:p w:rsidR="000B75AB" w:rsidRDefault="000B75AB" w:rsidP="000B75AB">
      <w:pPr>
        <w:rPr>
          <w:bCs/>
          <w:sz w:val="28"/>
          <w:szCs w:val="28"/>
        </w:rPr>
      </w:pPr>
      <w:r w:rsidRPr="0005473C">
        <w:rPr>
          <w:bCs/>
          <w:sz w:val="28"/>
          <w:szCs w:val="28"/>
        </w:rPr>
        <w:t>FMCSA is also directing motor carriers who are applying for an initial registration or otherwise updating their registration to declare the transportation of anhydrous ammonia or Class 3 flammable liquids as provided above in the Background section and to avoid the use of any of the form fields identified above in the Issue section. For questions or concerns, please contact the FMCSA Contact Center, at 1-800-832-5660 or submit via our website at https://ask.fmcsa.dot.gov/.</w:t>
      </w:r>
    </w:p>
    <w:p w:rsidR="00423D48" w:rsidRDefault="00423D48" w:rsidP="001163A0">
      <w:pPr>
        <w:rPr>
          <w:sz w:val="28"/>
          <w:szCs w:val="28"/>
        </w:rPr>
      </w:pPr>
      <w:bookmarkStart w:id="0" w:name="_GoBack"/>
      <w:bookmarkEnd w:id="0"/>
    </w:p>
    <w:sectPr w:rsidR="00423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69"/>
    <w:rsid w:val="0005473C"/>
    <w:rsid w:val="00056C77"/>
    <w:rsid w:val="00063B5E"/>
    <w:rsid w:val="000B75AB"/>
    <w:rsid w:val="001163A0"/>
    <w:rsid w:val="001E745B"/>
    <w:rsid w:val="003B40F4"/>
    <w:rsid w:val="00423D48"/>
    <w:rsid w:val="005C04F7"/>
    <w:rsid w:val="009D0371"/>
    <w:rsid w:val="00A10E69"/>
    <w:rsid w:val="00F6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5D6A8-5E16-4086-8B6D-8C78A281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0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F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B40F4"/>
    <w:rPr>
      <w:color w:val="0563C1" w:themeColor="hyperlink"/>
      <w:u w:val="single"/>
    </w:rPr>
  </w:style>
  <w:style w:type="paragraph" w:styleId="BalloonText">
    <w:name w:val="Balloon Text"/>
    <w:basedOn w:val="Normal"/>
    <w:link w:val="BalloonTextChar"/>
    <w:uiPriority w:val="99"/>
    <w:semiHidden/>
    <w:unhideWhenUsed/>
    <w:rsid w:val="00116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3A0"/>
    <w:rPr>
      <w:rFonts w:ascii="Segoe UI" w:hAnsi="Segoe UI" w:cs="Segoe UI"/>
      <w:sz w:val="18"/>
      <w:szCs w:val="18"/>
    </w:rPr>
  </w:style>
  <w:style w:type="paragraph" w:styleId="Revision">
    <w:name w:val="Revision"/>
    <w:hidden/>
    <w:uiPriority w:val="99"/>
    <w:semiHidden/>
    <w:rsid w:val="009D0371"/>
    <w:pPr>
      <w:spacing w:after="0" w:line="240" w:lineRule="auto"/>
    </w:pPr>
  </w:style>
  <w:style w:type="table" w:customStyle="1" w:styleId="TableGrid1">
    <w:name w:val="Table Grid1"/>
    <w:basedOn w:val="TableNormal"/>
    <w:next w:val="TableGrid"/>
    <w:uiPriority w:val="39"/>
    <w:rsid w:val="009D037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77199">
      <w:bodyDiv w:val="1"/>
      <w:marLeft w:val="0"/>
      <w:marRight w:val="0"/>
      <w:marTop w:val="0"/>
      <w:marBottom w:val="0"/>
      <w:divBdr>
        <w:top w:val="none" w:sz="0" w:space="0" w:color="auto"/>
        <w:left w:val="none" w:sz="0" w:space="0" w:color="auto"/>
        <w:bottom w:val="none" w:sz="0" w:space="0" w:color="auto"/>
        <w:right w:val="none" w:sz="0" w:space="0" w:color="auto"/>
      </w:divBdr>
    </w:div>
    <w:div w:id="16368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csa.hmsp@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fmcsa.hmsp@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094A6-AD78-41F1-B11F-E59D8A475B8C}">
  <ds:schemaRefs>
    <ds:schemaRef ds:uri="urn:sharePointPublishingRcaProperties"/>
  </ds:schemaRefs>
</ds:datastoreItem>
</file>

<file path=customXml/itemProps2.xml><?xml version="1.0" encoding="utf-8"?>
<ds:datastoreItem xmlns:ds="http://schemas.openxmlformats.org/officeDocument/2006/customXml" ds:itemID="{423B047E-69AF-4F7B-9723-2597ABFA35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996B0-BC34-4BC6-BF57-148D33AB2F7B}">
  <ds:schemaRefs>
    <ds:schemaRef ds:uri="http://schemas.microsoft.com/sharepoint/v3/contenttype/forms"/>
  </ds:schemaRefs>
</ds:datastoreItem>
</file>

<file path=customXml/itemProps4.xml><?xml version="1.0" encoding="utf-8"?>
<ds:datastoreItem xmlns:ds="http://schemas.openxmlformats.org/officeDocument/2006/customXml" ds:itemID="{169D7DCB-04FE-440F-9878-70780757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Tyrone (FMCSA)</dc:creator>
  <cp:keywords/>
  <dc:description/>
  <cp:lastModifiedBy>Alleman, Rosalyn CTR (FMCSA)</cp:lastModifiedBy>
  <cp:revision>4</cp:revision>
  <dcterms:created xsi:type="dcterms:W3CDTF">2020-02-14T13:23:00Z</dcterms:created>
  <dcterms:modified xsi:type="dcterms:W3CDTF">2020-02-25T13:50:00Z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