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459A4" w14:textId="77777777" w:rsidR="005930AA" w:rsidRDefault="005930AA" w:rsidP="005930AA">
      <w:pPr>
        <w:rPr>
          <w:rFonts w:ascii="Lucida Grande" w:hAnsi="Lucida Grande" w:cs="Lucida Grande"/>
          <w:b/>
          <w:bCs/>
          <w:color w:val="333333"/>
          <w:sz w:val="20"/>
          <w:szCs w:val="20"/>
          <w:shd w:val="clear" w:color="auto" w:fill="FFFFFF"/>
        </w:rPr>
      </w:pPr>
    </w:p>
    <w:p w14:paraId="454D257C" w14:textId="14F1CB19" w:rsidR="00BE7352" w:rsidRDefault="00BE7352" w:rsidP="00BE7352">
      <w:bookmarkStart w:id="0" w:name="_GoBack"/>
      <w:bookmarkEnd w:id="0"/>
    </w:p>
    <w:p w14:paraId="2B700B82" w14:textId="053531E3" w:rsidR="0067786F" w:rsidRPr="00BE7352" w:rsidRDefault="00610AB1" w:rsidP="0067786F">
      <w:pPr>
        <w:shd w:val="clear" w:color="auto" w:fill="FFFFFF"/>
        <w:spacing w:before="277" w:after="277"/>
        <w:outlineLvl w:val="1"/>
        <w:rPr>
          <w:rFonts w:ascii="Verdana" w:hAnsi="Verdana"/>
          <w:color w:val="000000"/>
          <w:sz w:val="20"/>
          <w:szCs w:val="20"/>
        </w:rPr>
      </w:pPr>
      <w:r>
        <w:rPr>
          <w:rFonts w:ascii="Verdana" w:hAnsi="Verdana"/>
          <w:b/>
          <w:bCs/>
          <w:color w:val="000000"/>
          <w:sz w:val="31"/>
          <w:szCs w:val="31"/>
        </w:rPr>
        <w:t>Federal Register Title and Cite</w:t>
      </w:r>
      <w:r w:rsidR="00BE7352">
        <w:rPr>
          <w:rFonts w:ascii="Verdana" w:hAnsi="Verdana"/>
          <w:b/>
          <w:bCs/>
          <w:color w:val="000000"/>
          <w:sz w:val="31"/>
          <w:szCs w:val="31"/>
        </w:rPr>
        <w:t xml:space="preserve"> </w:t>
      </w:r>
    </w:p>
    <w:p w14:paraId="00C824DE" w14:textId="70F35DA7" w:rsidR="00607B47" w:rsidRDefault="00EC6723" w:rsidP="00607B47">
      <w:pPr>
        <w:rPr>
          <w:rFonts w:ascii="Verdana" w:hAnsi="Verdana"/>
          <w:color w:val="000000"/>
          <w:sz w:val="20"/>
          <w:szCs w:val="20"/>
          <w:shd w:val="clear" w:color="auto" w:fill="FFFFFF"/>
        </w:rPr>
      </w:pPr>
      <w:r>
        <w:t>Regulatory Guidance on the Definition of “Principal Place of Business,” 74 Fed. Reg. 37653 (July 29, 2009)</w:t>
      </w:r>
      <w:r w:rsidR="00C07DBF" w:rsidRPr="00C07DBF">
        <w:rPr>
          <w:rFonts w:ascii="Verdana" w:hAnsi="Verdana"/>
          <w:color w:val="000000"/>
          <w:sz w:val="20"/>
          <w:szCs w:val="20"/>
        </w:rPr>
        <w:br/>
      </w:r>
    </w:p>
    <w:p w14:paraId="5BADE868" w14:textId="77777777" w:rsidR="000A20CC" w:rsidRDefault="000A20CC" w:rsidP="00610AB1">
      <w:pPr>
        <w:rPr>
          <w:rFonts w:ascii="Verdana" w:hAnsi="Verdana"/>
          <w:color w:val="000000"/>
          <w:sz w:val="20"/>
          <w:szCs w:val="20"/>
          <w:shd w:val="clear" w:color="auto" w:fill="FFFFFF"/>
        </w:rPr>
      </w:pPr>
    </w:p>
    <w:p w14:paraId="627BCDEB" w14:textId="228C6F2A" w:rsidR="00610AB1" w:rsidRDefault="00C07DBF" w:rsidP="00610AB1">
      <w:pPr>
        <w:rPr>
          <w:rFonts w:ascii="Verdana" w:hAnsi="Verdana"/>
          <w:color w:val="000000"/>
          <w:sz w:val="20"/>
          <w:szCs w:val="20"/>
          <w:shd w:val="clear" w:color="auto" w:fill="FFFFFF"/>
        </w:rPr>
      </w:pPr>
      <w:r w:rsidRPr="00C07DBF">
        <w:rPr>
          <w:rFonts w:ascii="Verdana" w:hAnsi="Verdana"/>
          <w:color w:val="000000"/>
          <w:sz w:val="20"/>
          <w:szCs w:val="20"/>
          <w:shd w:val="clear" w:color="auto" w:fill="FFFFFF"/>
        </w:rPr>
        <w:t xml:space="preserve">The </w:t>
      </w:r>
      <w:r w:rsidR="00610AB1">
        <w:rPr>
          <w:rFonts w:ascii="Verdana" w:hAnsi="Verdana"/>
          <w:color w:val="000000"/>
          <w:sz w:val="20"/>
          <w:szCs w:val="20"/>
          <w:shd w:val="clear" w:color="auto" w:fill="FFFFFF"/>
        </w:rPr>
        <w:t>Federal Register text ca</w:t>
      </w:r>
      <w:r w:rsidRPr="00C07DBF">
        <w:rPr>
          <w:rFonts w:ascii="Verdana" w:hAnsi="Verdana"/>
          <w:color w:val="000000"/>
          <w:sz w:val="20"/>
          <w:szCs w:val="20"/>
          <w:shd w:val="clear" w:color="auto" w:fill="FFFFFF"/>
        </w:rPr>
        <w:t xml:space="preserve">n be found on the </w:t>
      </w:r>
      <w:r w:rsidR="00610AB1">
        <w:rPr>
          <w:rFonts w:ascii="Verdana" w:hAnsi="Verdana"/>
          <w:color w:val="000000"/>
          <w:sz w:val="20"/>
          <w:szCs w:val="20"/>
          <w:shd w:val="clear" w:color="auto" w:fill="FFFFFF"/>
        </w:rPr>
        <w:t>Federal Register website. To view the Federal Register</w:t>
      </w:r>
      <w:r w:rsidRPr="00C07DBF">
        <w:rPr>
          <w:rFonts w:ascii="Verdana" w:hAnsi="Verdana"/>
          <w:color w:val="000000"/>
          <w:sz w:val="20"/>
          <w:szCs w:val="20"/>
          <w:shd w:val="clear" w:color="auto" w:fill="FFFFFF"/>
        </w:rPr>
        <w:t xml:space="preserve"> text, use the link below.</w:t>
      </w:r>
    </w:p>
    <w:p w14:paraId="009163B8" w14:textId="64AB4BEE" w:rsidR="00655392" w:rsidRDefault="00655392" w:rsidP="00610AB1">
      <w:pPr>
        <w:rPr>
          <w:rFonts w:ascii="Verdana" w:hAnsi="Verdana"/>
          <w:color w:val="000000"/>
          <w:sz w:val="20"/>
          <w:szCs w:val="20"/>
          <w:shd w:val="clear" w:color="auto" w:fill="FFFFFF"/>
        </w:rPr>
      </w:pPr>
    </w:p>
    <w:p w14:paraId="1B70868D" w14:textId="77777777" w:rsidR="00EC6723" w:rsidRDefault="001E294D" w:rsidP="00EC6723">
      <w:hyperlink r:id="rId5" w:history="1">
        <w:r w:rsidR="00EC6723" w:rsidRPr="00E06A11">
          <w:rPr>
            <w:rStyle w:val="Hyperlink"/>
          </w:rPr>
          <w:t>https://www.federalregister.gov/documents/2009/07/29/E9-18142/regulatory-guidance-on-the-definition-of-principal-place-of-business</w:t>
        </w:r>
      </w:hyperlink>
    </w:p>
    <w:p w14:paraId="1A8CCB3F" w14:textId="77777777" w:rsidR="00655392" w:rsidRDefault="00655392" w:rsidP="00610AB1">
      <w:pPr>
        <w:rPr>
          <w:rFonts w:ascii="Verdana" w:hAnsi="Verdana"/>
          <w:color w:val="000000"/>
          <w:sz w:val="20"/>
          <w:szCs w:val="20"/>
          <w:shd w:val="clear" w:color="auto" w:fill="FFFFFF"/>
        </w:rPr>
      </w:pPr>
    </w:p>
    <w:p w14:paraId="5624BEF6" w14:textId="47CA7BE4" w:rsidR="00C07DBF" w:rsidRPr="00445121" w:rsidRDefault="00610AB1" w:rsidP="00445121">
      <w:pPr>
        <w:pStyle w:val="Heading2"/>
        <w:rPr>
          <w:rFonts w:ascii="Verdana" w:hAnsi="Verdana"/>
          <w:b w:val="0"/>
          <w:bCs w:val="0"/>
          <w:color w:val="000000"/>
          <w:sz w:val="20"/>
          <w:szCs w:val="20"/>
        </w:rPr>
      </w:pPr>
      <w:r>
        <w:rPr>
          <w:rFonts w:ascii="Verdana" w:hAnsi="Verdana"/>
          <w:color w:val="000000"/>
          <w:sz w:val="31"/>
          <w:szCs w:val="31"/>
        </w:rPr>
        <w:t>Federal Register Description/Summary</w:t>
      </w:r>
    </w:p>
    <w:p w14:paraId="7CDC61F3" w14:textId="357E72F8" w:rsidR="00655392" w:rsidRDefault="00EC6723" w:rsidP="005930AA">
      <w:pPr>
        <w:rPr>
          <w:rFonts w:ascii="Lucida Grande" w:hAnsi="Lucida Grande" w:cs="Lucida Grande"/>
          <w:b/>
          <w:bCs/>
          <w:color w:val="333333"/>
          <w:sz w:val="20"/>
          <w:szCs w:val="20"/>
          <w:highlight w:val="yellow"/>
          <w:shd w:val="clear" w:color="auto" w:fill="FFFFFF"/>
        </w:rPr>
      </w:pPr>
      <w:r>
        <w:t>The FMCSA announces regulatory guidance concerning its definition of ‘‘principal place of business.’’ The regulatory guidance is presented in a question-and-answer format and is generally applicable to motor carrier operations subject to the Federal Motor Carrier Safety Regulations. No prior interpretations or regulatory guidance concerning the term ‘‘principal place of business,’’ whether published or unpublished may be relied upon as authoritative if they are inconsistent w</w:t>
      </w:r>
      <w:r w:rsidR="006F0AEB">
        <w:t>ith this guidance</w:t>
      </w:r>
      <w:r>
        <w:t>. This guidance will provide the motor carrier industry and Federal, State and local law enforcement officials with uniform information for use in determining which locations may be designated by a motor carrier as its principal place of business.</w:t>
      </w:r>
    </w:p>
    <w:p w14:paraId="6F28D7C5" w14:textId="77777777" w:rsidR="00655392" w:rsidRDefault="00655392" w:rsidP="005930AA">
      <w:pPr>
        <w:rPr>
          <w:rFonts w:ascii="Lucida Grande" w:hAnsi="Lucida Grande" w:cs="Lucida Grande"/>
          <w:b/>
          <w:bCs/>
          <w:color w:val="333333"/>
          <w:sz w:val="20"/>
          <w:szCs w:val="20"/>
          <w:highlight w:val="yellow"/>
          <w:shd w:val="clear" w:color="auto" w:fill="FFFFFF"/>
        </w:rPr>
      </w:pPr>
    </w:p>
    <w:sectPr w:rsidR="00655392" w:rsidSect="00AF1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swiss"/>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E7D5E"/>
    <w:multiLevelType w:val="multilevel"/>
    <w:tmpl w:val="AA8424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EA622E0"/>
    <w:multiLevelType w:val="multilevel"/>
    <w:tmpl w:val="631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76"/>
    <w:rsid w:val="000A20CC"/>
    <w:rsid w:val="001C1FFE"/>
    <w:rsid w:val="001E294D"/>
    <w:rsid w:val="00237897"/>
    <w:rsid w:val="00240FD2"/>
    <w:rsid w:val="00262DAD"/>
    <w:rsid w:val="002D5D65"/>
    <w:rsid w:val="0040553F"/>
    <w:rsid w:val="004207C6"/>
    <w:rsid w:val="00445121"/>
    <w:rsid w:val="00505750"/>
    <w:rsid w:val="00573896"/>
    <w:rsid w:val="005930AA"/>
    <w:rsid w:val="00607B47"/>
    <w:rsid w:val="00610AB1"/>
    <w:rsid w:val="00630A76"/>
    <w:rsid w:val="00655392"/>
    <w:rsid w:val="0067786F"/>
    <w:rsid w:val="006F0AEB"/>
    <w:rsid w:val="007F0D79"/>
    <w:rsid w:val="00866BF3"/>
    <w:rsid w:val="009304DE"/>
    <w:rsid w:val="00A93F24"/>
    <w:rsid w:val="00AF1165"/>
    <w:rsid w:val="00B305D6"/>
    <w:rsid w:val="00BB50DF"/>
    <w:rsid w:val="00BE7352"/>
    <w:rsid w:val="00C07DBF"/>
    <w:rsid w:val="00D67670"/>
    <w:rsid w:val="00EB1625"/>
    <w:rsid w:val="00EC6723"/>
    <w:rsid w:val="00F5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E17B"/>
  <w14:defaultImageDpi w14:val="32767"/>
  <w15:chartTrackingRefBased/>
  <w15:docId w15:val="{40C47B90-BE34-0644-AE18-657EF300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352"/>
    <w:rPr>
      <w:rFonts w:ascii="Times New Roman" w:eastAsia="Times New Roman" w:hAnsi="Times New Roman" w:cs="Times New Roman"/>
    </w:rPr>
  </w:style>
  <w:style w:type="paragraph" w:styleId="Heading2">
    <w:name w:val="heading 2"/>
    <w:basedOn w:val="Normal"/>
    <w:link w:val="Heading2Char"/>
    <w:uiPriority w:val="9"/>
    <w:qFormat/>
    <w:rsid w:val="00630A76"/>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1C1F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A7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30A76"/>
    <w:rPr>
      <w:color w:val="0000FF"/>
      <w:u w:val="single"/>
    </w:rPr>
  </w:style>
  <w:style w:type="paragraph" w:customStyle="1" w:styleId="isactive">
    <w:name w:val="is_active"/>
    <w:basedOn w:val="Normal"/>
    <w:rsid w:val="00630A76"/>
    <w:pPr>
      <w:spacing w:before="100" w:beforeAutospacing="1" w:after="100" w:afterAutospacing="1"/>
    </w:pPr>
  </w:style>
  <w:style w:type="paragraph" w:styleId="NormalWeb">
    <w:name w:val="Normal (Web)"/>
    <w:basedOn w:val="Normal"/>
    <w:uiPriority w:val="99"/>
    <w:semiHidden/>
    <w:unhideWhenUsed/>
    <w:rsid w:val="00630A76"/>
    <w:pPr>
      <w:spacing w:before="100" w:beforeAutospacing="1" w:after="100" w:afterAutospacing="1"/>
    </w:pPr>
  </w:style>
  <w:style w:type="character" w:customStyle="1" w:styleId="Heading4Char">
    <w:name w:val="Heading 4 Char"/>
    <w:basedOn w:val="DefaultParagraphFont"/>
    <w:link w:val="Heading4"/>
    <w:uiPriority w:val="9"/>
    <w:semiHidden/>
    <w:rsid w:val="001C1FFE"/>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C1FFE"/>
    <w:rPr>
      <w:b/>
      <w:bCs/>
    </w:rPr>
  </w:style>
  <w:style w:type="character" w:customStyle="1" w:styleId="fieldset-legend">
    <w:name w:val="fieldset-legend"/>
    <w:basedOn w:val="DefaultParagraphFont"/>
    <w:rsid w:val="005930AA"/>
  </w:style>
  <w:style w:type="table" w:styleId="TableGrid">
    <w:name w:val="Table Grid"/>
    <w:basedOn w:val="TableNormal"/>
    <w:uiPriority w:val="59"/>
    <w:rsid w:val="00866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semiHidden/>
    <w:unhideWhenUsed/>
    <w:rsid w:val="00607B4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135094">
      <w:bodyDiv w:val="1"/>
      <w:marLeft w:val="0"/>
      <w:marRight w:val="0"/>
      <w:marTop w:val="0"/>
      <w:marBottom w:val="0"/>
      <w:divBdr>
        <w:top w:val="none" w:sz="0" w:space="0" w:color="auto"/>
        <w:left w:val="none" w:sz="0" w:space="0" w:color="auto"/>
        <w:bottom w:val="none" w:sz="0" w:space="0" w:color="auto"/>
        <w:right w:val="none" w:sz="0" w:space="0" w:color="auto"/>
      </w:divBdr>
    </w:div>
    <w:div w:id="380906213">
      <w:bodyDiv w:val="1"/>
      <w:marLeft w:val="0"/>
      <w:marRight w:val="0"/>
      <w:marTop w:val="0"/>
      <w:marBottom w:val="0"/>
      <w:divBdr>
        <w:top w:val="none" w:sz="0" w:space="0" w:color="auto"/>
        <w:left w:val="none" w:sz="0" w:space="0" w:color="auto"/>
        <w:bottom w:val="none" w:sz="0" w:space="0" w:color="auto"/>
        <w:right w:val="none" w:sz="0" w:space="0" w:color="auto"/>
      </w:divBdr>
    </w:div>
    <w:div w:id="427822136">
      <w:bodyDiv w:val="1"/>
      <w:marLeft w:val="0"/>
      <w:marRight w:val="0"/>
      <w:marTop w:val="0"/>
      <w:marBottom w:val="0"/>
      <w:divBdr>
        <w:top w:val="none" w:sz="0" w:space="0" w:color="auto"/>
        <w:left w:val="none" w:sz="0" w:space="0" w:color="auto"/>
        <w:bottom w:val="none" w:sz="0" w:space="0" w:color="auto"/>
        <w:right w:val="none" w:sz="0" w:space="0" w:color="auto"/>
      </w:divBdr>
    </w:div>
    <w:div w:id="852959387">
      <w:bodyDiv w:val="1"/>
      <w:marLeft w:val="0"/>
      <w:marRight w:val="0"/>
      <w:marTop w:val="0"/>
      <w:marBottom w:val="0"/>
      <w:divBdr>
        <w:top w:val="none" w:sz="0" w:space="0" w:color="auto"/>
        <w:left w:val="none" w:sz="0" w:space="0" w:color="auto"/>
        <w:bottom w:val="none" w:sz="0" w:space="0" w:color="auto"/>
        <w:right w:val="none" w:sz="0" w:space="0" w:color="auto"/>
      </w:divBdr>
    </w:div>
    <w:div w:id="923144342">
      <w:bodyDiv w:val="1"/>
      <w:marLeft w:val="0"/>
      <w:marRight w:val="0"/>
      <w:marTop w:val="0"/>
      <w:marBottom w:val="0"/>
      <w:divBdr>
        <w:top w:val="none" w:sz="0" w:space="0" w:color="auto"/>
        <w:left w:val="none" w:sz="0" w:space="0" w:color="auto"/>
        <w:bottom w:val="none" w:sz="0" w:space="0" w:color="auto"/>
        <w:right w:val="none" w:sz="0" w:space="0" w:color="auto"/>
      </w:divBdr>
      <w:divsChild>
        <w:div w:id="1887372551">
          <w:marLeft w:val="0"/>
          <w:marRight w:val="0"/>
          <w:marTop w:val="0"/>
          <w:marBottom w:val="0"/>
          <w:divBdr>
            <w:top w:val="none" w:sz="0" w:space="0" w:color="auto"/>
            <w:left w:val="none" w:sz="0" w:space="0" w:color="auto"/>
            <w:bottom w:val="none" w:sz="0" w:space="0" w:color="auto"/>
            <w:right w:val="none" w:sz="0" w:space="0" w:color="auto"/>
          </w:divBdr>
          <w:divsChild>
            <w:div w:id="493494511">
              <w:marLeft w:val="0"/>
              <w:marRight w:val="0"/>
              <w:marTop w:val="0"/>
              <w:marBottom w:val="0"/>
              <w:divBdr>
                <w:top w:val="none" w:sz="0" w:space="0" w:color="auto"/>
                <w:left w:val="none" w:sz="0" w:space="0" w:color="auto"/>
                <w:bottom w:val="none" w:sz="0" w:space="0" w:color="auto"/>
                <w:right w:val="none" w:sz="0" w:space="0" w:color="auto"/>
              </w:divBdr>
              <w:divsChild>
                <w:div w:id="2842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552">
          <w:marLeft w:val="0"/>
          <w:marRight w:val="0"/>
          <w:marTop w:val="0"/>
          <w:marBottom w:val="0"/>
          <w:divBdr>
            <w:top w:val="none" w:sz="0" w:space="0" w:color="auto"/>
            <w:left w:val="none" w:sz="0" w:space="0" w:color="auto"/>
            <w:bottom w:val="none" w:sz="0" w:space="0" w:color="auto"/>
            <w:right w:val="none" w:sz="0" w:space="0" w:color="auto"/>
          </w:divBdr>
        </w:div>
      </w:divsChild>
    </w:div>
    <w:div w:id="2014067113">
      <w:bodyDiv w:val="1"/>
      <w:marLeft w:val="0"/>
      <w:marRight w:val="0"/>
      <w:marTop w:val="0"/>
      <w:marBottom w:val="0"/>
      <w:divBdr>
        <w:top w:val="none" w:sz="0" w:space="0" w:color="auto"/>
        <w:left w:val="none" w:sz="0" w:space="0" w:color="auto"/>
        <w:bottom w:val="none" w:sz="0" w:space="0" w:color="auto"/>
        <w:right w:val="none" w:sz="0" w:space="0" w:color="auto"/>
      </w:divBdr>
      <w:divsChild>
        <w:div w:id="132870488">
          <w:marLeft w:val="0"/>
          <w:marRight w:val="0"/>
          <w:marTop w:val="0"/>
          <w:marBottom w:val="0"/>
          <w:divBdr>
            <w:top w:val="none" w:sz="0" w:space="0" w:color="auto"/>
            <w:left w:val="none" w:sz="0" w:space="0" w:color="auto"/>
            <w:bottom w:val="none" w:sz="0" w:space="0" w:color="auto"/>
            <w:right w:val="none" w:sz="0" w:space="0" w:color="auto"/>
          </w:divBdr>
          <w:divsChild>
            <w:div w:id="336612094">
              <w:marLeft w:val="0"/>
              <w:marRight w:val="0"/>
              <w:marTop w:val="0"/>
              <w:marBottom w:val="0"/>
              <w:divBdr>
                <w:top w:val="none" w:sz="0" w:space="0" w:color="auto"/>
                <w:left w:val="none" w:sz="0" w:space="0" w:color="auto"/>
                <w:bottom w:val="none" w:sz="0" w:space="0" w:color="auto"/>
                <w:right w:val="none" w:sz="0" w:space="0" w:color="auto"/>
              </w:divBdr>
              <w:divsChild>
                <w:div w:id="1646012679">
                  <w:marLeft w:val="0"/>
                  <w:marRight w:val="0"/>
                  <w:marTop w:val="0"/>
                  <w:marBottom w:val="0"/>
                  <w:divBdr>
                    <w:top w:val="none" w:sz="0" w:space="0" w:color="auto"/>
                    <w:left w:val="none" w:sz="0" w:space="0" w:color="auto"/>
                    <w:bottom w:val="none" w:sz="0" w:space="0" w:color="auto"/>
                    <w:right w:val="none" w:sz="0" w:space="0" w:color="auto"/>
                  </w:divBdr>
                  <w:divsChild>
                    <w:div w:id="1254242184">
                      <w:marLeft w:val="0"/>
                      <w:marRight w:val="0"/>
                      <w:marTop w:val="45"/>
                      <w:marBottom w:val="96"/>
                      <w:divBdr>
                        <w:top w:val="none" w:sz="0" w:space="0" w:color="auto"/>
                        <w:left w:val="none" w:sz="0" w:space="0" w:color="auto"/>
                        <w:bottom w:val="none" w:sz="0" w:space="0" w:color="auto"/>
                        <w:right w:val="none" w:sz="0" w:space="0" w:color="auto"/>
                      </w:divBdr>
                    </w:div>
                    <w:div w:id="1861774856">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sChild>
        </w:div>
        <w:div w:id="592208671">
          <w:marLeft w:val="0"/>
          <w:marRight w:val="0"/>
          <w:marTop w:val="0"/>
          <w:marBottom w:val="0"/>
          <w:divBdr>
            <w:top w:val="none" w:sz="0" w:space="0" w:color="auto"/>
            <w:left w:val="none" w:sz="0" w:space="0" w:color="auto"/>
            <w:bottom w:val="none" w:sz="0" w:space="0" w:color="auto"/>
            <w:right w:val="none" w:sz="0" w:space="0" w:color="auto"/>
          </w:divBdr>
          <w:divsChild>
            <w:div w:id="994337289">
              <w:marLeft w:val="0"/>
              <w:marRight w:val="0"/>
              <w:marTop w:val="0"/>
              <w:marBottom w:val="0"/>
              <w:divBdr>
                <w:top w:val="none" w:sz="0" w:space="0" w:color="auto"/>
                <w:left w:val="none" w:sz="0" w:space="0" w:color="auto"/>
                <w:bottom w:val="none" w:sz="0" w:space="0" w:color="auto"/>
                <w:right w:val="none" w:sz="0" w:space="0" w:color="auto"/>
              </w:divBdr>
              <w:divsChild>
                <w:div w:id="20359548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39434282">
          <w:marLeft w:val="0"/>
          <w:marRight w:val="0"/>
          <w:marTop w:val="0"/>
          <w:marBottom w:val="0"/>
          <w:divBdr>
            <w:top w:val="none" w:sz="0" w:space="0" w:color="auto"/>
            <w:left w:val="none" w:sz="0" w:space="0" w:color="auto"/>
            <w:bottom w:val="none" w:sz="0" w:space="0" w:color="auto"/>
            <w:right w:val="none" w:sz="0" w:space="0" w:color="auto"/>
          </w:divBdr>
          <w:divsChild>
            <w:div w:id="479348728">
              <w:marLeft w:val="0"/>
              <w:marRight w:val="0"/>
              <w:marTop w:val="0"/>
              <w:marBottom w:val="0"/>
              <w:divBdr>
                <w:top w:val="none" w:sz="0" w:space="0" w:color="auto"/>
                <w:left w:val="none" w:sz="0" w:space="0" w:color="auto"/>
                <w:bottom w:val="none" w:sz="0" w:space="0" w:color="auto"/>
                <w:right w:val="none" w:sz="0" w:space="0" w:color="auto"/>
              </w:divBdr>
              <w:divsChild>
                <w:div w:id="10712715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2130584932">
      <w:bodyDiv w:val="1"/>
      <w:marLeft w:val="0"/>
      <w:marRight w:val="0"/>
      <w:marTop w:val="0"/>
      <w:marBottom w:val="0"/>
      <w:divBdr>
        <w:top w:val="none" w:sz="0" w:space="0" w:color="auto"/>
        <w:left w:val="none" w:sz="0" w:space="0" w:color="auto"/>
        <w:bottom w:val="none" w:sz="0" w:space="0" w:color="auto"/>
        <w:right w:val="none" w:sz="0" w:space="0" w:color="auto"/>
      </w:divBdr>
      <w:divsChild>
        <w:div w:id="1708021405">
          <w:marLeft w:val="0"/>
          <w:marRight w:val="0"/>
          <w:marTop w:val="0"/>
          <w:marBottom w:val="0"/>
          <w:divBdr>
            <w:top w:val="none" w:sz="0" w:space="0" w:color="auto"/>
            <w:left w:val="none" w:sz="0" w:space="0" w:color="auto"/>
            <w:bottom w:val="none" w:sz="0" w:space="0" w:color="auto"/>
            <w:right w:val="none" w:sz="0" w:space="0" w:color="auto"/>
          </w:divBdr>
          <w:divsChild>
            <w:div w:id="1207522079">
              <w:marLeft w:val="0"/>
              <w:marRight w:val="0"/>
              <w:marTop w:val="0"/>
              <w:marBottom w:val="0"/>
              <w:divBdr>
                <w:top w:val="none" w:sz="0" w:space="0" w:color="auto"/>
                <w:left w:val="none" w:sz="0" w:space="0" w:color="auto"/>
                <w:bottom w:val="none" w:sz="0" w:space="0" w:color="auto"/>
                <w:right w:val="none" w:sz="0" w:space="0" w:color="auto"/>
              </w:divBdr>
              <w:divsChild>
                <w:div w:id="16145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ederalregister.gov/documents/2009/07/29/E9-18142/regulatory-guidance-on-the-definition-of-principal-place-of-busin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 Martin (FMCSA)</dc:creator>
  <cp:keywords/>
  <dc:description/>
  <cp:lastModifiedBy>Edwards, Jimmy (FMCSA)</cp:lastModifiedBy>
  <cp:revision>2</cp:revision>
  <dcterms:created xsi:type="dcterms:W3CDTF">2020-02-19T22:22:00Z</dcterms:created>
  <dcterms:modified xsi:type="dcterms:W3CDTF">2020-02-19T22:22:00Z</dcterms:modified>
</cp:coreProperties>
</file>