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61" w:rsidRPr="00774437" w:rsidRDefault="003F0A61" w:rsidP="003F0A61">
      <w:pPr>
        <w:spacing w:after="0" w:line="240" w:lineRule="auto"/>
        <w:rPr>
          <w:rFonts w:ascii="Lucida Grande" w:eastAsia="Times New Roman" w:hAnsi="Lucida Grande" w:cs="Lucida Grande"/>
          <w:b/>
          <w:bCs/>
          <w:sz w:val="20"/>
          <w:szCs w:val="20"/>
          <w:shd w:val="clear" w:color="auto" w:fill="FFFFFF"/>
        </w:rPr>
      </w:pPr>
      <w:bookmarkStart w:id="0" w:name="_GoBack"/>
      <w:bookmarkEnd w:id="0"/>
      <w:r w:rsidRPr="00774437">
        <w:rPr>
          <w:rFonts w:ascii="Lucida Grande" w:eastAsia="Times New Roman" w:hAnsi="Lucida Grande" w:cs="Lucida Grande"/>
          <w:b/>
          <w:bCs/>
          <w:sz w:val="20"/>
          <w:szCs w:val="20"/>
          <w:shd w:val="clear" w:color="auto" w:fill="FFFFFF"/>
        </w:rPr>
        <w:t xml:space="preserve"> (</w:t>
      </w:r>
      <w:r w:rsidR="00774437" w:rsidRPr="00774437">
        <w:rPr>
          <w:rFonts w:ascii="Lucida Grande" w:eastAsia="Times New Roman" w:hAnsi="Lucida Grande" w:cs="Lucida Grande"/>
          <w:b/>
          <w:bCs/>
          <w:sz w:val="20"/>
          <w:szCs w:val="20"/>
          <w:shd w:val="clear" w:color="auto" w:fill="FFFFFF"/>
        </w:rPr>
        <w:t>FMCSA-D&amp;A-CLEAR-382.711-FAQ00</w:t>
      </w:r>
      <w:r w:rsidR="008E3111">
        <w:rPr>
          <w:rFonts w:ascii="Lucida Grande" w:eastAsia="Times New Roman" w:hAnsi="Lucida Grande" w:cs="Lucida Grande"/>
          <w:b/>
          <w:bCs/>
          <w:sz w:val="20"/>
          <w:szCs w:val="20"/>
          <w:shd w:val="clear" w:color="auto" w:fill="FFFFFF"/>
        </w:rPr>
        <w:t>4</w:t>
      </w:r>
      <w:r w:rsidR="00D07AE3" w:rsidRPr="00774437">
        <w:rPr>
          <w:rFonts w:ascii="Lucida Grande" w:eastAsia="Times New Roman" w:hAnsi="Lucida Grande" w:cs="Lucida Grande"/>
          <w:b/>
          <w:bCs/>
          <w:sz w:val="20"/>
          <w:szCs w:val="20"/>
          <w:shd w:val="clear" w:color="auto" w:fill="FFFFFF"/>
        </w:rPr>
        <w:t>)</w:t>
      </w:r>
    </w:p>
    <w:p w:rsidR="003F0A61" w:rsidRPr="00774437" w:rsidRDefault="003F0A61" w:rsidP="003F0A61">
      <w:pPr>
        <w:spacing w:after="0" w:line="240" w:lineRule="auto"/>
        <w:rPr>
          <w:rFonts w:ascii="Lucida Grande" w:eastAsia="Times New Roman" w:hAnsi="Lucida Grande" w:cs="Lucida Grande"/>
          <w:b/>
          <w:bCs/>
          <w:sz w:val="20"/>
          <w:szCs w:val="20"/>
          <w:shd w:val="clear" w:color="auto" w:fill="FFFFFF"/>
        </w:rPr>
      </w:pPr>
    </w:p>
    <w:p w:rsidR="003F0A61" w:rsidRPr="00BA4DD6" w:rsidRDefault="003F0A61" w:rsidP="00774437">
      <w:pPr>
        <w:spacing w:after="0" w:line="240" w:lineRule="auto"/>
        <w:rPr>
          <w:rFonts w:ascii="Times New Roman" w:eastAsia="Times New Roman" w:hAnsi="Times New Roman" w:cs="Times New Roman"/>
          <w:sz w:val="24"/>
          <w:szCs w:val="24"/>
        </w:rPr>
      </w:pPr>
      <w:r w:rsidRPr="00BA4DD6">
        <w:rPr>
          <w:rFonts w:ascii="Lucida Grande" w:eastAsia="Times New Roman" w:hAnsi="Lucida Grande" w:cs="Lucida Grande"/>
          <w:b/>
          <w:bCs/>
          <w:sz w:val="20"/>
          <w:szCs w:val="20"/>
          <w:shd w:val="clear" w:color="auto" w:fill="FFFFFF"/>
        </w:rPr>
        <w:t>Description</w:t>
      </w:r>
    </w:p>
    <w:p w:rsidR="00254CAE" w:rsidRDefault="00254CAE" w:rsidP="00774437">
      <w:pPr>
        <w:spacing w:after="0" w:line="240" w:lineRule="auto"/>
      </w:pPr>
    </w:p>
    <w:p w:rsidR="00774437" w:rsidRPr="00336463" w:rsidRDefault="00774437" w:rsidP="00774437">
      <w:pPr>
        <w:shd w:val="clear" w:color="auto" w:fill="FFFFFF"/>
        <w:spacing w:after="0" w:line="240" w:lineRule="auto"/>
        <w:outlineLvl w:val="1"/>
        <w:rPr>
          <w:b/>
          <w:bCs/>
          <w:color w:val="000000"/>
          <w:sz w:val="31"/>
          <w:szCs w:val="31"/>
        </w:rPr>
      </w:pPr>
      <w:r w:rsidRPr="00336463">
        <w:rPr>
          <w:b/>
          <w:bCs/>
          <w:color w:val="000000"/>
          <w:sz w:val="31"/>
          <w:szCs w:val="31"/>
        </w:rPr>
        <w:t>§3</w:t>
      </w:r>
      <w:r>
        <w:rPr>
          <w:b/>
          <w:bCs/>
          <w:color w:val="000000"/>
          <w:sz w:val="31"/>
          <w:szCs w:val="31"/>
        </w:rPr>
        <w:t>82.711</w:t>
      </w:r>
      <w:r w:rsidRPr="00336463">
        <w:rPr>
          <w:b/>
          <w:bCs/>
          <w:color w:val="000000"/>
          <w:sz w:val="31"/>
          <w:szCs w:val="31"/>
        </w:rPr>
        <w:t xml:space="preserve"> </w:t>
      </w:r>
      <w:r>
        <w:rPr>
          <w:b/>
          <w:bCs/>
          <w:color w:val="000000"/>
          <w:sz w:val="31"/>
          <w:szCs w:val="31"/>
        </w:rPr>
        <w:t xml:space="preserve">– Clearinghouse Registration </w:t>
      </w:r>
    </w:p>
    <w:p w:rsidR="00774437" w:rsidRDefault="00774437" w:rsidP="00774437">
      <w:pPr>
        <w:spacing w:after="0" w:line="240" w:lineRule="auto"/>
      </w:pPr>
    </w:p>
    <w:p w:rsidR="00AF735D" w:rsidRPr="006B4EA6" w:rsidRDefault="00AF735D" w:rsidP="00AF735D">
      <w:pPr>
        <w:shd w:val="clear" w:color="auto" w:fill="FFFFFF"/>
        <w:spacing w:after="0" w:line="240" w:lineRule="auto"/>
        <w:rPr>
          <w:rFonts w:eastAsia="Times New Roman" w:cstheme="minorHAnsi"/>
          <w:b/>
          <w:bCs/>
          <w:color w:val="333333"/>
        </w:rPr>
      </w:pPr>
      <w:r w:rsidRPr="006B4EA6">
        <w:rPr>
          <w:rFonts w:eastAsia="Times New Roman" w:cstheme="minorHAnsi"/>
          <w:b/>
          <w:bCs/>
          <w:color w:val="333333"/>
        </w:rPr>
        <w:t>Q&amp;A</w:t>
      </w:r>
    </w:p>
    <w:p w:rsidR="00AF735D" w:rsidRDefault="00AF735D" w:rsidP="00AF735D">
      <w:pPr>
        <w:shd w:val="clear" w:color="auto" w:fill="FFFFFF"/>
        <w:spacing w:after="0" w:line="240" w:lineRule="auto"/>
        <w:rPr>
          <w:rFonts w:eastAsia="Times New Roman" w:cstheme="minorHAnsi"/>
          <w:bCs/>
          <w:color w:val="333333"/>
        </w:rPr>
      </w:pPr>
      <w:r>
        <w:rPr>
          <w:rFonts w:eastAsia="Times New Roman" w:cstheme="minorHAnsi"/>
          <w:bCs/>
          <w:color w:val="333333"/>
        </w:rPr>
        <w:t xml:space="preserve">Commercial driver staffing agencies may employ CMV drivers who hold CDLs and are subject to FMCSA’s drug and alcohol testing requirements in part 382. The staffing agency supplies these drivers to motor carriers, generally on a short-term basis, to operate CMVs requiring a CDL. Are driver staffing agencies required to register in the Clearinghouse? </w:t>
      </w:r>
    </w:p>
    <w:p w:rsidR="00AF735D" w:rsidRPr="009C3448" w:rsidRDefault="00AF735D" w:rsidP="00AF735D">
      <w:pPr>
        <w:shd w:val="clear" w:color="auto" w:fill="FFFFFF"/>
        <w:spacing w:after="0" w:line="240" w:lineRule="auto"/>
        <w:rPr>
          <w:rFonts w:eastAsia="Times New Roman" w:cstheme="minorHAnsi"/>
          <w:bCs/>
          <w:color w:val="333333"/>
        </w:rPr>
      </w:pPr>
    </w:p>
    <w:p w:rsidR="00AF735D" w:rsidRPr="006B4EA6" w:rsidRDefault="00AF735D" w:rsidP="00AF735D">
      <w:pPr>
        <w:shd w:val="clear" w:color="auto" w:fill="FFFFFF"/>
        <w:spacing w:after="0" w:line="240" w:lineRule="auto"/>
        <w:rPr>
          <w:rFonts w:eastAsia="Times New Roman" w:cstheme="minorHAnsi"/>
          <w:b/>
          <w:bCs/>
          <w:color w:val="333333"/>
        </w:rPr>
      </w:pPr>
      <w:r w:rsidRPr="006B4EA6">
        <w:rPr>
          <w:rFonts w:eastAsia="Times New Roman" w:cstheme="minorHAnsi"/>
          <w:b/>
          <w:bCs/>
          <w:color w:val="333333"/>
        </w:rPr>
        <w:t xml:space="preserve">Guidance: </w:t>
      </w:r>
    </w:p>
    <w:p w:rsidR="00AF735D" w:rsidRPr="009C3448" w:rsidRDefault="00AF735D" w:rsidP="00AF735D">
      <w:pPr>
        <w:spacing w:after="120"/>
      </w:pPr>
      <w:r>
        <w:t>Whether, and h</w:t>
      </w:r>
      <w:r w:rsidRPr="009C3448">
        <w:t>ow</w:t>
      </w:r>
      <w:r>
        <w:t>,</w:t>
      </w:r>
      <w:r w:rsidRPr="009C3448">
        <w:t xml:space="preserve"> a driver staffing agency </w:t>
      </w:r>
      <w:r>
        <w:t xml:space="preserve">would register in the Clearinghouse depends on whether the agency </w:t>
      </w:r>
      <w:r w:rsidRPr="009C3448">
        <w:t>function</w:t>
      </w:r>
      <w:r>
        <w:t xml:space="preserve">s </w:t>
      </w:r>
      <w:r w:rsidRPr="009C3448">
        <w:t xml:space="preserve">as an employer, a </w:t>
      </w:r>
      <w:r w:rsidRPr="009C3448">
        <w:rPr>
          <w:rFonts w:eastAsia="Times New Roman"/>
          <w:bCs/>
        </w:rPr>
        <w:t>consortium/third-party administrator (C/TPA)</w:t>
      </w:r>
      <w:r w:rsidRPr="009C3448">
        <w:t xml:space="preserve">, or as both, depending on the services rendered. </w:t>
      </w:r>
    </w:p>
    <w:p w:rsidR="00AF735D" w:rsidRPr="009C3448" w:rsidRDefault="00AF735D" w:rsidP="00AF735D">
      <w:pPr>
        <w:spacing w:after="120" w:line="240" w:lineRule="auto"/>
        <w:rPr>
          <w:rFonts w:eastAsia="Times New Roman"/>
        </w:rPr>
      </w:pPr>
      <w:r>
        <w:t xml:space="preserve">The staffing agency should </w:t>
      </w:r>
      <w:r w:rsidRPr="009C3448">
        <w:rPr>
          <w:rFonts w:eastAsia="Times New Roman"/>
        </w:rPr>
        <w:t>register in the Clearinghouse as an employer</w:t>
      </w:r>
      <w:r>
        <w:t xml:space="preserve"> if: (1) the staffing agency maintains </w:t>
      </w:r>
      <w:r w:rsidRPr="009C3448">
        <w:rPr>
          <w:rFonts w:eastAsia="Times New Roman"/>
        </w:rPr>
        <w:t>its own DOT drug and alcohol testing program</w:t>
      </w:r>
      <w:r>
        <w:rPr>
          <w:rFonts w:eastAsia="Times New Roman"/>
        </w:rPr>
        <w:t xml:space="preserve">; </w:t>
      </w:r>
      <w:r w:rsidR="00D16159">
        <w:rPr>
          <w:rFonts w:eastAsia="Times New Roman"/>
        </w:rPr>
        <w:t xml:space="preserve">and </w:t>
      </w:r>
      <w:r>
        <w:rPr>
          <w:rFonts w:eastAsia="Times New Roman"/>
        </w:rPr>
        <w:t>(2) is responsible for ensuring compliance with FMCSA’s drug and alcohol testing requirements for the drivers it employs who are subject to those requirements</w:t>
      </w:r>
      <w:r w:rsidR="00D16159">
        <w:rPr>
          <w:rFonts w:eastAsia="Times New Roman"/>
        </w:rPr>
        <w:t>.</w:t>
      </w:r>
      <w:r w:rsidRPr="009C3448">
        <w:rPr>
          <w:rFonts w:eastAsia="Times New Roman"/>
        </w:rPr>
        <w:t xml:space="preserve"> </w:t>
      </w:r>
    </w:p>
    <w:p w:rsidR="00AF735D" w:rsidRPr="009C3448" w:rsidRDefault="00AF735D" w:rsidP="00AF735D">
      <w:pPr>
        <w:spacing w:after="120" w:line="240" w:lineRule="auto"/>
      </w:pPr>
      <w:r w:rsidRPr="009C3448">
        <w:rPr>
          <w:rFonts w:eastAsia="Times New Roman"/>
        </w:rPr>
        <w:t xml:space="preserve">The staffing agency may register in the Clearinghouse as a </w:t>
      </w:r>
      <w:r w:rsidRPr="009C3448">
        <w:rPr>
          <w:rFonts w:eastAsia="Times New Roman"/>
          <w:bCs/>
        </w:rPr>
        <w:t xml:space="preserve">C/TPA if the </w:t>
      </w:r>
      <w:r w:rsidRPr="009C3448">
        <w:rPr>
          <w:rFonts w:eastAsia="Times New Roman"/>
        </w:rPr>
        <w:t xml:space="preserve">motor carrier </w:t>
      </w:r>
      <w:r>
        <w:rPr>
          <w:rFonts w:eastAsia="Times New Roman"/>
        </w:rPr>
        <w:t xml:space="preserve">is </w:t>
      </w:r>
      <w:r w:rsidRPr="009C3448">
        <w:rPr>
          <w:rFonts w:eastAsia="Times New Roman"/>
        </w:rPr>
        <w:t xml:space="preserve">responsible for </w:t>
      </w:r>
      <w:r>
        <w:rPr>
          <w:rFonts w:eastAsia="Times New Roman"/>
        </w:rPr>
        <w:t xml:space="preserve">drug and alcohol program compliance, including </w:t>
      </w:r>
      <w:r w:rsidRPr="009C3448">
        <w:rPr>
          <w:rFonts w:eastAsia="Times New Roman"/>
        </w:rPr>
        <w:t>fulfilling the</w:t>
      </w:r>
      <w:r>
        <w:rPr>
          <w:rFonts w:eastAsia="Times New Roman"/>
        </w:rPr>
        <w:t xml:space="preserve"> employer’s</w:t>
      </w:r>
      <w:r w:rsidRPr="009C3448">
        <w:rPr>
          <w:rFonts w:eastAsia="Times New Roman"/>
        </w:rPr>
        <w:t xml:space="preserve"> querying and reporting requirements</w:t>
      </w:r>
      <w:r>
        <w:rPr>
          <w:rFonts w:eastAsia="Times New Roman"/>
        </w:rPr>
        <w:t xml:space="preserve">, </w:t>
      </w:r>
      <w:r w:rsidRPr="009C3448">
        <w:rPr>
          <w:rFonts w:eastAsia="Times New Roman"/>
        </w:rPr>
        <w:t>but designates the staffing agency to perform these functions on the carrier’s behalf</w:t>
      </w:r>
      <w:r>
        <w:rPr>
          <w:rFonts w:eastAsia="Times New Roman"/>
        </w:rPr>
        <w:t xml:space="preserve">, as permitted by </w:t>
      </w:r>
      <w:r>
        <w:rPr>
          <w:rFonts w:eastAsia="Times New Roman" w:cstheme="minorHAnsi"/>
        </w:rPr>
        <w:t xml:space="preserve">§ </w:t>
      </w:r>
      <w:r>
        <w:rPr>
          <w:rFonts w:eastAsia="Times New Roman"/>
        </w:rPr>
        <w:t>382.711(b).</w:t>
      </w:r>
    </w:p>
    <w:p w:rsidR="00AF735D" w:rsidRDefault="00AF735D" w:rsidP="00AF735D">
      <w:pPr>
        <w:spacing w:after="120" w:line="240" w:lineRule="auto"/>
        <w:rPr>
          <w:rFonts w:eastAsia="Times New Roman"/>
        </w:rPr>
      </w:pPr>
      <w:r>
        <w:rPr>
          <w:rFonts w:eastAsia="Times New Roman"/>
        </w:rPr>
        <w:t>I</w:t>
      </w:r>
      <w:r w:rsidRPr="009C3448">
        <w:rPr>
          <w:rFonts w:eastAsia="Times New Roman"/>
        </w:rPr>
        <w:t xml:space="preserve">f the </w:t>
      </w:r>
      <w:r>
        <w:rPr>
          <w:rFonts w:eastAsia="Times New Roman"/>
        </w:rPr>
        <w:t xml:space="preserve">staffing </w:t>
      </w:r>
      <w:r w:rsidRPr="009C3448">
        <w:rPr>
          <w:rFonts w:eastAsia="Times New Roman"/>
        </w:rPr>
        <w:t>agency will perform both functions</w:t>
      </w:r>
      <w:r>
        <w:rPr>
          <w:rFonts w:eastAsia="Times New Roman"/>
        </w:rPr>
        <w:t>,</w:t>
      </w:r>
      <w:r w:rsidRPr="009C3448">
        <w:rPr>
          <w:rFonts w:eastAsia="Times New Roman"/>
        </w:rPr>
        <w:t xml:space="preserve"> </w:t>
      </w:r>
      <w:r>
        <w:rPr>
          <w:rFonts w:eastAsia="Times New Roman"/>
        </w:rPr>
        <w:t xml:space="preserve">it should </w:t>
      </w:r>
      <w:r w:rsidRPr="009C3448">
        <w:rPr>
          <w:rFonts w:eastAsia="Times New Roman"/>
        </w:rPr>
        <w:t xml:space="preserve">create two separate Clearinghouse accounts; one as an </w:t>
      </w:r>
      <w:r w:rsidRPr="009C3448">
        <w:rPr>
          <w:rFonts w:eastAsia="Times New Roman"/>
          <w:bCs/>
        </w:rPr>
        <w:t>employer</w:t>
      </w:r>
      <w:r w:rsidRPr="009C3448">
        <w:rPr>
          <w:rFonts w:eastAsia="Times New Roman"/>
        </w:rPr>
        <w:t xml:space="preserve"> and one as a </w:t>
      </w:r>
      <w:r w:rsidRPr="009C3448">
        <w:rPr>
          <w:rFonts w:eastAsia="Times New Roman"/>
          <w:bCs/>
        </w:rPr>
        <w:t>C/TPA</w:t>
      </w:r>
      <w:r>
        <w:rPr>
          <w:rFonts w:eastAsia="Times New Roman"/>
          <w:bCs/>
        </w:rPr>
        <w:t>, using a different email address for each account</w:t>
      </w:r>
      <w:r w:rsidRPr="009C3448">
        <w:rPr>
          <w:rFonts w:eastAsia="Times New Roman"/>
        </w:rPr>
        <w:t>.</w:t>
      </w:r>
    </w:p>
    <w:sectPr w:rsidR="00AF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5A6C"/>
    <w:multiLevelType w:val="hybridMultilevel"/>
    <w:tmpl w:val="54C4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91691"/>
    <w:multiLevelType w:val="multilevel"/>
    <w:tmpl w:val="BF989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61"/>
    <w:rsid w:val="000F214B"/>
    <w:rsid w:val="00254CAE"/>
    <w:rsid w:val="003F0A61"/>
    <w:rsid w:val="0059230E"/>
    <w:rsid w:val="00624A72"/>
    <w:rsid w:val="0065750B"/>
    <w:rsid w:val="006A1279"/>
    <w:rsid w:val="006F0C89"/>
    <w:rsid w:val="00774437"/>
    <w:rsid w:val="0084775F"/>
    <w:rsid w:val="008E3111"/>
    <w:rsid w:val="00944C28"/>
    <w:rsid w:val="009C3448"/>
    <w:rsid w:val="00A44347"/>
    <w:rsid w:val="00AF735D"/>
    <w:rsid w:val="00B7461F"/>
    <w:rsid w:val="00BA4DD6"/>
    <w:rsid w:val="00C2173F"/>
    <w:rsid w:val="00D07AE3"/>
    <w:rsid w:val="00D16159"/>
    <w:rsid w:val="00DC1D5B"/>
    <w:rsid w:val="00F5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4EE3"/>
  <w15:chartTrackingRefBased/>
  <w15:docId w15:val="{E61B7CE1-F733-424F-BAA3-CA29E384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75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279"/>
    <w:pPr>
      <w:ind w:left="720"/>
      <w:contextualSpacing/>
    </w:pPr>
  </w:style>
  <w:style w:type="character" w:styleId="CommentReference">
    <w:name w:val="annotation reference"/>
    <w:basedOn w:val="DefaultParagraphFont"/>
    <w:uiPriority w:val="99"/>
    <w:semiHidden/>
    <w:unhideWhenUsed/>
    <w:rsid w:val="00AF735D"/>
    <w:rPr>
      <w:sz w:val="16"/>
      <w:szCs w:val="16"/>
    </w:rPr>
  </w:style>
  <w:style w:type="paragraph" w:styleId="CommentText">
    <w:name w:val="annotation text"/>
    <w:basedOn w:val="Normal"/>
    <w:link w:val="CommentTextChar"/>
    <w:uiPriority w:val="99"/>
    <w:semiHidden/>
    <w:unhideWhenUsed/>
    <w:rsid w:val="00AF735D"/>
    <w:pPr>
      <w:spacing w:line="240" w:lineRule="auto"/>
    </w:pPr>
    <w:rPr>
      <w:sz w:val="20"/>
      <w:szCs w:val="20"/>
    </w:rPr>
  </w:style>
  <w:style w:type="character" w:customStyle="1" w:styleId="CommentTextChar">
    <w:name w:val="Comment Text Char"/>
    <w:basedOn w:val="DefaultParagraphFont"/>
    <w:link w:val="CommentText"/>
    <w:uiPriority w:val="99"/>
    <w:semiHidden/>
    <w:rsid w:val="00AF735D"/>
    <w:rPr>
      <w:sz w:val="20"/>
      <w:szCs w:val="20"/>
    </w:rPr>
  </w:style>
  <w:style w:type="paragraph" w:styleId="BalloonText">
    <w:name w:val="Balloon Text"/>
    <w:basedOn w:val="Normal"/>
    <w:link w:val="BalloonTextChar"/>
    <w:uiPriority w:val="99"/>
    <w:semiHidden/>
    <w:unhideWhenUsed/>
    <w:rsid w:val="00AF7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3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230E"/>
    <w:rPr>
      <w:b/>
      <w:bCs/>
    </w:rPr>
  </w:style>
  <w:style w:type="character" w:customStyle="1" w:styleId="CommentSubjectChar">
    <w:name w:val="Comment Subject Char"/>
    <w:basedOn w:val="CommentTextChar"/>
    <w:link w:val="CommentSubject"/>
    <w:uiPriority w:val="99"/>
    <w:semiHidden/>
    <w:rsid w:val="00592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36414">
      <w:bodyDiv w:val="1"/>
      <w:marLeft w:val="0"/>
      <w:marRight w:val="0"/>
      <w:marTop w:val="0"/>
      <w:marBottom w:val="0"/>
      <w:divBdr>
        <w:top w:val="none" w:sz="0" w:space="0" w:color="auto"/>
        <w:left w:val="none" w:sz="0" w:space="0" w:color="auto"/>
        <w:bottom w:val="none" w:sz="0" w:space="0" w:color="auto"/>
        <w:right w:val="none" w:sz="0" w:space="0" w:color="auto"/>
      </w:divBdr>
    </w:div>
    <w:div w:id="1088306123">
      <w:bodyDiv w:val="1"/>
      <w:marLeft w:val="0"/>
      <w:marRight w:val="0"/>
      <w:marTop w:val="0"/>
      <w:marBottom w:val="0"/>
      <w:divBdr>
        <w:top w:val="none" w:sz="0" w:space="0" w:color="auto"/>
        <w:left w:val="none" w:sz="0" w:space="0" w:color="auto"/>
        <w:bottom w:val="none" w:sz="0" w:space="0" w:color="auto"/>
        <w:right w:val="none" w:sz="0" w:space="0" w:color="auto"/>
      </w:divBdr>
    </w:div>
    <w:div w:id="17474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Props1.xml><?xml version="1.0" encoding="utf-8"?>
<ds:datastoreItem xmlns:ds="http://schemas.openxmlformats.org/officeDocument/2006/customXml" ds:itemID="{A443D0CB-294B-46B8-BA5E-07E3BE27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B7C186-0C63-4E97-8BFA-8CAD02902487}">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9056168-03FC-4A2A-87E9-AE024BDC7381}">
  <ds:schemaRefs>
    <ds:schemaRef ds:uri="http://schemas.microsoft.com/sharepoint/v3/contenttype/forms"/>
  </ds:schemaRefs>
</ds:datastoreItem>
</file>

<file path=customXml/itemProps4.xml><?xml version="1.0" encoding="utf-8"?>
<ds:datastoreItem xmlns:ds="http://schemas.openxmlformats.org/officeDocument/2006/customXml" ds:itemID="{914E7577-ACFE-48A0-8622-C816723C8627}">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Alexis (FMCSA)</dc:creator>
  <cp:keywords/>
  <dc:description/>
  <cp:lastModifiedBy>Edwards, Jimmy (FMCSA)</cp:lastModifiedBy>
  <cp:revision>2</cp:revision>
  <cp:lastPrinted>2020-02-24T16:16:00Z</cp:lastPrinted>
  <dcterms:created xsi:type="dcterms:W3CDTF">2020-02-26T00:51:00Z</dcterms:created>
  <dcterms:modified xsi:type="dcterms:W3CDTF">2020-02-26T00:51:00Z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