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68ADC" w14:textId="77777777" w:rsidR="00C14470" w:rsidRPr="003F0A61" w:rsidRDefault="00C14470" w:rsidP="00C1447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F0A61">
        <w:rPr>
          <w:rFonts w:ascii="Calibri" w:eastAsia="Times New Roman" w:hAnsi="Calibri" w:cs="Calibri"/>
          <w:color w:val="000000"/>
        </w:rPr>
        <w:t>Clearinghouse FAQ</w:t>
      </w:r>
    </w:p>
    <w:p w14:paraId="31D9F629" w14:textId="77777777" w:rsidR="00C14470" w:rsidRDefault="00C14470" w:rsidP="00C14470"/>
    <w:p w14:paraId="11C54D60" w14:textId="77777777" w:rsidR="00C14470" w:rsidRPr="000C46B0" w:rsidRDefault="00C14470" w:rsidP="00C14470">
      <w:pPr>
        <w:pStyle w:val="Heading2"/>
      </w:pPr>
      <w:r w:rsidRPr="000C46B0">
        <w:t>Q&amp;A</w:t>
      </w:r>
    </w:p>
    <w:p w14:paraId="5936247B" w14:textId="77777777" w:rsidR="00C14470" w:rsidRPr="000C46B0" w:rsidRDefault="00C14470" w:rsidP="00C14470">
      <w:pPr>
        <w:spacing w:after="0" w:line="240" w:lineRule="auto"/>
        <w:rPr>
          <w:rFonts w:cstheme="minorHAnsi"/>
          <w:sz w:val="24"/>
          <w:szCs w:val="24"/>
        </w:rPr>
      </w:pPr>
      <w:r w:rsidRPr="000C46B0">
        <w:rPr>
          <w:rFonts w:cstheme="minorHAnsi"/>
          <w:sz w:val="24"/>
          <w:szCs w:val="24"/>
        </w:rPr>
        <w:t>Is a social security number (SSN) or employee identification number (EIN) required to enter a driver’s violation in the Clearinghouse?</w:t>
      </w:r>
    </w:p>
    <w:p w14:paraId="0D225CE7" w14:textId="77777777" w:rsidR="00C14470" w:rsidRPr="000C46B0" w:rsidRDefault="00C14470" w:rsidP="00C14470">
      <w:pPr>
        <w:spacing w:after="0" w:line="240" w:lineRule="auto"/>
        <w:rPr>
          <w:rFonts w:cstheme="minorHAnsi"/>
          <w:sz w:val="24"/>
          <w:szCs w:val="24"/>
        </w:rPr>
      </w:pPr>
    </w:p>
    <w:p w14:paraId="7A52B1B4" w14:textId="77777777" w:rsidR="00C14470" w:rsidRPr="000C46B0" w:rsidRDefault="00C14470" w:rsidP="00C14470">
      <w:pPr>
        <w:pStyle w:val="Heading2"/>
        <w:rPr>
          <w:rFonts w:eastAsia="Calibri"/>
        </w:rPr>
      </w:pPr>
      <w:r w:rsidRPr="000C46B0">
        <w:t>Guidance:</w:t>
      </w:r>
      <w:r w:rsidRPr="000C46B0">
        <w:rPr>
          <w:rFonts w:eastAsia="Calibri"/>
        </w:rPr>
        <w:t xml:space="preserve"> </w:t>
      </w:r>
    </w:p>
    <w:p w14:paraId="5178318A" w14:textId="77777777" w:rsidR="00C14470" w:rsidRPr="000C46B0" w:rsidRDefault="00C14470" w:rsidP="00C14470">
      <w:pPr>
        <w:spacing w:after="0" w:line="240" w:lineRule="auto"/>
        <w:rPr>
          <w:rFonts w:eastAsia="Calibri" w:cstheme="minorHAnsi"/>
          <w:sz w:val="24"/>
          <w:szCs w:val="24"/>
        </w:rPr>
      </w:pPr>
      <w:r w:rsidRPr="000C46B0">
        <w:rPr>
          <w:rFonts w:eastAsia="Calibri" w:cstheme="minorHAnsi"/>
          <w:sz w:val="24"/>
          <w:szCs w:val="24"/>
        </w:rPr>
        <w:t xml:space="preserve">No. The final rule requires the driver’s commercial driver’s license (CDL) number and issuing State must be used when reporting a drug and alcohol program violation in the Clearinghouse. </w:t>
      </w:r>
      <w:r>
        <w:rPr>
          <w:rFonts w:eastAsia="Calibri" w:cstheme="minorHAnsi"/>
          <w:sz w:val="24"/>
          <w:szCs w:val="24"/>
        </w:rPr>
        <w:t>See 49 CFR 382.705.</w:t>
      </w:r>
      <w:r w:rsidRPr="000C46B0">
        <w:rPr>
          <w:rFonts w:cstheme="minorHAnsi"/>
          <w:sz w:val="24"/>
          <w:szCs w:val="24"/>
        </w:rPr>
        <w:t xml:space="preserve"> </w:t>
      </w:r>
    </w:p>
    <w:p w14:paraId="29137AF6" w14:textId="77777777" w:rsidR="00254CAE" w:rsidRPr="00C14470" w:rsidRDefault="00254CAE" w:rsidP="00C14470"/>
    <w:sectPr w:rsidR="00254CAE" w:rsidRPr="00C14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AAB"/>
    <w:rsid w:val="000C46B0"/>
    <w:rsid w:val="00254CAE"/>
    <w:rsid w:val="006B48EF"/>
    <w:rsid w:val="00C14470"/>
    <w:rsid w:val="00C57AAB"/>
    <w:rsid w:val="00D4001E"/>
    <w:rsid w:val="00EA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34C45"/>
  <w15:chartTrackingRefBased/>
  <w15:docId w15:val="{AA726BCD-54CF-4600-BA55-21053C1D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AA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44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7AAB"/>
    <w:pPr>
      <w:spacing w:after="0" w:line="240" w:lineRule="auto"/>
    </w:pPr>
  </w:style>
  <w:style w:type="table" w:styleId="TableGrid">
    <w:name w:val="Table Grid"/>
    <w:basedOn w:val="TableNormal"/>
    <w:uiPriority w:val="39"/>
    <w:rsid w:val="000C46B0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144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2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0FCEF7-BC28-4AA5-AC2C-653C4A8022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939BB3-86C3-4B6D-8557-04ACA906D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996929-F711-44EC-8013-F93FD95E3E3F}">
  <ds:schemaRefs>
    <ds:schemaRef ds:uri="urn:sharePointPublishingRcaProperties"/>
  </ds:schemaRefs>
</ds:datastoreItem>
</file>

<file path=customXml/itemProps4.xml><?xml version="1.0" encoding="utf-8"?>
<ds:datastoreItem xmlns:ds="http://schemas.openxmlformats.org/officeDocument/2006/customXml" ds:itemID="{129D850A-84B2-492E-89F3-2E08D70086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Branch, Alexis (FMCSA)</dc:creator>
  <cp:keywords/>
  <dc:description/>
  <cp:lastModifiedBy>Erb, Martin (FMCSA)</cp:lastModifiedBy>
  <cp:revision>5</cp:revision>
  <dcterms:created xsi:type="dcterms:W3CDTF">2020-02-14T15:28:00Z</dcterms:created>
  <dcterms:modified xsi:type="dcterms:W3CDTF">2020-02-27T21:56:00Z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