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0EF34" w14:textId="77777777" w:rsidR="00BF4584" w:rsidRPr="003F0A61" w:rsidRDefault="00BF4584" w:rsidP="00BF458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Guidance on </w:t>
      </w:r>
      <w:r w:rsidRPr="00DC1D5B">
        <w:rPr>
          <w:rFonts w:ascii="Calibri" w:eastAsia="Times New Roman" w:hAnsi="Calibri" w:cs="Calibri"/>
          <w:color w:val="000000"/>
        </w:rPr>
        <w:t xml:space="preserve">Owner Operator Self Queries </w:t>
      </w:r>
    </w:p>
    <w:p w14:paraId="12F568BF" w14:textId="77777777" w:rsidR="00BF4584" w:rsidRPr="003F0A61" w:rsidRDefault="00BF4584" w:rsidP="00BF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02C78" w14:textId="77777777" w:rsidR="00BF4584" w:rsidRPr="003F0A61" w:rsidRDefault="00BF4584" w:rsidP="00BF45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0A61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>Word.docx (</w:t>
      </w:r>
      <w:r w:rsidRPr="00944C28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>FMCSA-D&amp;A-CLEAR-382.701-FAQ00</w:t>
      </w:r>
      <w:r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>5)</w:t>
      </w:r>
    </w:p>
    <w:p w14:paraId="4676E391" w14:textId="77777777" w:rsidR="00BF4584" w:rsidRDefault="00BF4584" w:rsidP="00BF4584">
      <w:pPr>
        <w:spacing w:after="0" w:line="240" w:lineRule="auto"/>
      </w:pPr>
    </w:p>
    <w:p w14:paraId="5A0501C6" w14:textId="77777777" w:rsidR="00BF4584" w:rsidRPr="0084775F" w:rsidRDefault="00BF4584" w:rsidP="00BF4584">
      <w:pPr>
        <w:pStyle w:val="Heading2"/>
        <w:rPr>
          <w:rFonts w:eastAsia="Times New Roman"/>
        </w:rPr>
      </w:pPr>
      <w:r w:rsidRPr="0084775F">
        <w:rPr>
          <w:rFonts w:eastAsia="Times New Roman"/>
        </w:rPr>
        <w:t>Q&amp;A</w:t>
      </w:r>
    </w:p>
    <w:p w14:paraId="0D21E971" w14:textId="77777777" w:rsidR="00BF4584" w:rsidRPr="0084775F" w:rsidRDefault="00BF4584" w:rsidP="00BF4584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84775F">
        <w:rPr>
          <w:rFonts w:eastAsia="Times New Roman" w:cstheme="minorHAnsi"/>
          <w:bCs/>
          <w:color w:val="333333"/>
          <w:sz w:val="24"/>
          <w:szCs w:val="24"/>
        </w:rPr>
        <w:t>Does an owner-operator have to conduct queries on himself/herself?</w:t>
      </w:r>
    </w:p>
    <w:p w14:paraId="690545BA" w14:textId="77777777" w:rsidR="00BF4584" w:rsidRPr="0084775F" w:rsidRDefault="00BF4584" w:rsidP="00BF4584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14:paraId="0A50DAD2" w14:textId="77777777" w:rsidR="00BF4584" w:rsidRDefault="00BF4584" w:rsidP="00BF4584">
      <w:pPr>
        <w:pStyle w:val="Heading2"/>
        <w:rPr>
          <w:rFonts w:eastAsia="Times New Roman"/>
        </w:rPr>
      </w:pPr>
      <w:r w:rsidRPr="0084775F">
        <w:rPr>
          <w:rFonts w:eastAsia="Times New Roman"/>
        </w:rPr>
        <w:t xml:space="preserve">Guidance: </w:t>
      </w:r>
    </w:p>
    <w:p w14:paraId="5AE7737E" w14:textId="77777777" w:rsidR="00BF4584" w:rsidRPr="0084775F" w:rsidRDefault="00BF4584" w:rsidP="00BF4584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84775F">
        <w:rPr>
          <w:rFonts w:eastAsia="Times New Roman" w:cstheme="minorHAnsi"/>
          <w:bCs/>
          <w:color w:val="333333"/>
          <w:sz w:val="24"/>
          <w:szCs w:val="24"/>
        </w:rPr>
        <w:t>Yes. Anyone who employs a commercial driver’s license (CDL) holder must query the Clearinghouse (§ 382.701). This requirement includes owner-operators—that is, any employer that employs himself or herself as a CDL driver, typically a single-driver operation. Owner-operators must comply with all Clearinghouse requirements imposed on both employers and employees. (§ 382.</w:t>
      </w:r>
      <w:r>
        <w:rPr>
          <w:rFonts w:eastAsia="Times New Roman" w:cstheme="minorHAnsi"/>
          <w:bCs/>
          <w:color w:val="333333"/>
          <w:sz w:val="24"/>
          <w:szCs w:val="24"/>
        </w:rPr>
        <w:t>103(b))</w:t>
      </w:r>
      <w:r w:rsidRPr="0084775F">
        <w:rPr>
          <w:rFonts w:eastAsia="Times New Roman" w:cstheme="minorHAnsi"/>
          <w:bCs/>
          <w:color w:val="333333"/>
          <w:sz w:val="24"/>
          <w:szCs w:val="24"/>
        </w:rPr>
        <w:t>. An owner-operator’s designated consortium/third-party administrator (C/TPA) may conduct queries on the</w:t>
      </w:r>
      <w:r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r w:rsidRPr="0084775F">
        <w:rPr>
          <w:rFonts w:eastAsia="Times New Roman" w:cstheme="minorHAnsi"/>
          <w:bCs/>
          <w:color w:val="333333"/>
          <w:sz w:val="24"/>
          <w:szCs w:val="24"/>
        </w:rPr>
        <w:t>owner-operator’s behalf. However, the C/TPA is responsible for reporting drug and alcohol program violations to the Clearinghouse for the owner-operator</w:t>
      </w:r>
      <w:r>
        <w:rPr>
          <w:rFonts w:eastAsia="Times New Roman" w:cstheme="minorHAnsi"/>
          <w:bCs/>
          <w:color w:val="333333"/>
          <w:sz w:val="24"/>
          <w:szCs w:val="24"/>
        </w:rPr>
        <w:t xml:space="preserve"> in accordance with 49 CFR 382.705(b)(6)</w:t>
      </w:r>
      <w:r w:rsidRPr="0084775F">
        <w:rPr>
          <w:rFonts w:eastAsia="Times New Roman" w:cstheme="minorHAnsi"/>
          <w:bCs/>
          <w:color w:val="333333"/>
          <w:sz w:val="24"/>
          <w:szCs w:val="24"/>
        </w:rPr>
        <w:t>.</w:t>
      </w:r>
    </w:p>
    <w:p w14:paraId="31294C94" w14:textId="77777777" w:rsidR="0084775F" w:rsidRPr="00BF4584" w:rsidRDefault="0084775F" w:rsidP="00BF4584"/>
    <w:sectPr w:rsidR="0084775F" w:rsidRPr="00BF4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61"/>
    <w:rsid w:val="000F214B"/>
    <w:rsid w:val="00254CAE"/>
    <w:rsid w:val="003F0A61"/>
    <w:rsid w:val="0065750B"/>
    <w:rsid w:val="0084775F"/>
    <w:rsid w:val="00944C28"/>
    <w:rsid w:val="00BF4584"/>
    <w:rsid w:val="00C2173F"/>
    <w:rsid w:val="00D07AE3"/>
    <w:rsid w:val="00D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DC18"/>
  <w15:chartTrackingRefBased/>
  <w15:docId w15:val="{E61B7CE1-F733-424F-BAA3-CA29E384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5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75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5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3D0CB-294B-46B8-BA5E-07E3BE273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E7577-ACFE-48A0-8622-C816723C8627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49056168-03FC-4A2A-87E9-AE024BDC7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7C186-0C63-4E97-8BFA-8CAD02902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8</cp:revision>
  <dcterms:created xsi:type="dcterms:W3CDTF">2020-02-14T15:36:00Z</dcterms:created>
  <dcterms:modified xsi:type="dcterms:W3CDTF">2020-02-27T20:55:00Z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