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B745B" w14:textId="77777777" w:rsidR="003C702C" w:rsidRPr="00AC07C0" w:rsidRDefault="003C702C" w:rsidP="003C702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Guidance on drivers with </w:t>
      </w:r>
      <w:r w:rsidRPr="00AC07C0">
        <w:rPr>
          <w:rFonts w:asciiTheme="minorHAnsi" w:hAnsiTheme="minorHAnsi" w:cstheme="minorHAnsi"/>
          <w:sz w:val="22"/>
          <w:szCs w:val="22"/>
        </w:rPr>
        <w:t>drug and alcohol program violation</w:t>
      </w:r>
      <w:r>
        <w:rPr>
          <w:rFonts w:asciiTheme="minorHAnsi" w:hAnsiTheme="minorHAnsi" w:cstheme="minorHAnsi"/>
          <w:sz w:val="22"/>
          <w:szCs w:val="22"/>
        </w:rPr>
        <w:t>s in multiple states</w:t>
      </w:r>
    </w:p>
    <w:p w14:paraId="783BC3A9" w14:textId="77777777" w:rsidR="003C702C" w:rsidRPr="00AC07C0" w:rsidRDefault="003C702C" w:rsidP="003C702C">
      <w:pPr>
        <w:pStyle w:val="Heading2"/>
      </w:pPr>
      <w:r w:rsidRPr="00AC07C0">
        <w:t>Q&amp;A</w:t>
      </w:r>
    </w:p>
    <w:p w14:paraId="27CE2D39" w14:textId="77777777" w:rsidR="003C702C" w:rsidRPr="00AC07C0" w:rsidRDefault="003C702C" w:rsidP="003C702C">
      <w:pPr>
        <w:rPr>
          <w:rFonts w:asciiTheme="minorHAnsi" w:hAnsiTheme="minorHAnsi" w:cstheme="minorHAnsi"/>
          <w:sz w:val="22"/>
          <w:szCs w:val="22"/>
        </w:rPr>
      </w:pPr>
      <w:r w:rsidRPr="00AC07C0">
        <w:rPr>
          <w:rFonts w:asciiTheme="minorHAnsi" w:hAnsiTheme="minorHAnsi" w:cstheme="minorHAnsi"/>
          <w:sz w:val="22"/>
          <w:szCs w:val="22"/>
        </w:rPr>
        <w:t>If a driver has a drug and alcohol program violation in one State, then applies for a commercial driver’s license (CDL) in another State, will the Clearinghouse be able to connect that driver’s drug and alcohol violation history to the new CDL?</w:t>
      </w:r>
    </w:p>
    <w:p w14:paraId="2BA99CE1" w14:textId="77777777" w:rsidR="003C702C" w:rsidRDefault="003C702C" w:rsidP="003C702C">
      <w:pPr>
        <w:rPr>
          <w:rFonts w:asciiTheme="minorHAnsi" w:hAnsiTheme="minorHAnsi" w:cstheme="minorHAnsi"/>
          <w:sz w:val="22"/>
          <w:szCs w:val="22"/>
        </w:rPr>
      </w:pPr>
    </w:p>
    <w:p w14:paraId="24F42DEB" w14:textId="77777777" w:rsidR="003C702C" w:rsidRDefault="003C702C" w:rsidP="003C702C">
      <w:pPr>
        <w:rPr>
          <w:rFonts w:asciiTheme="minorHAnsi" w:hAnsiTheme="minorHAnsi" w:cstheme="minorHAnsi"/>
          <w:sz w:val="22"/>
          <w:szCs w:val="22"/>
        </w:rPr>
      </w:pPr>
      <w:r w:rsidRPr="00AC07C0">
        <w:rPr>
          <w:rFonts w:asciiTheme="minorHAnsi" w:hAnsiTheme="minorHAnsi" w:cstheme="minorHAnsi"/>
          <w:sz w:val="22"/>
          <w:szCs w:val="22"/>
        </w:rPr>
        <w:t>G</w:t>
      </w:r>
      <w:r w:rsidRPr="003C702C">
        <w:rPr>
          <w:rStyle w:val="Heading2Char"/>
        </w:rPr>
        <w:t>u</w:t>
      </w:r>
      <w:r w:rsidRPr="00AC07C0">
        <w:rPr>
          <w:rFonts w:asciiTheme="minorHAnsi" w:hAnsiTheme="minorHAnsi" w:cstheme="minorHAnsi"/>
          <w:sz w:val="22"/>
          <w:szCs w:val="22"/>
        </w:rPr>
        <w:t>idance: </w:t>
      </w:r>
    </w:p>
    <w:p w14:paraId="46926377" w14:textId="77777777" w:rsidR="003C702C" w:rsidRPr="00AC07C0" w:rsidRDefault="003C702C" w:rsidP="003C702C">
      <w:pPr>
        <w:rPr>
          <w:rFonts w:asciiTheme="minorHAnsi" w:hAnsiTheme="minorHAnsi" w:cstheme="minorHAnsi"/>
          <w:sz w:val="22"/>
          <w:szCs w:val="22"/>
        </w:rPr>
      </w:pPr>
      <w:r w:rsidRPr="00AC07C0">
        <w:rPr>
          <w:rFonts w:asciiTheme="minorHAnsi" w:hAnsiTheme="minorHAnsi" w:cstheme="minorHAnsi"/>
          <w:sz w:val="22"/>
          <w:szCs w:val="22"/>
        </w:rPr>
        <w:t xml:space="preserve">Yes. The Clearinghouse will identify drivers who move frequently and obtain CDLs in different States and link those CDLs, in order to maintain complete and accurate information on such drivers. </w:t>
      </w:r>
    </w:p>
    <w:p w14:paraId="78FEB6ED" w14:textId="77777777" w:rsidR="003C702C" w:rsidRPr="00AC07C0" w:rsidRDefault="003C702C" w:rsidP="003C702C">
      <w:pPr>
        <w:rPr>
          <w:rFonts w:asciiTheme="minorHAnsi" w:hAnsiTheme="minorHAnsi" w:cstheme="minorHAnsi"/>
          <w:sz w:val="22"/>
          <w:szCs w:val="22"/>
        </w:rPr>
      </w:pPr>
    </w:p>
    <w:p w14:paraId="5EBC951C" w14:textId="77777777" w:rsidR="003C702C" w:rsidRDefault="003C702C" w:rsidP="003C702C">
      <w:pPr>
        <w:rPr>
          <w:rFonts w:asciiTheme="minorHAnsi" w:hAnsiTheme="minorHAnsi" w:cstheme="minorHAnsi"/>
          <w:sz w:val="22"/>
          <w:szCs w:val="22"/>
        </w:rPr>
      </w:pPr>
      <w:r w:rsidRPr="00AC07C0">
        <w:rPr>
          <w:rFonts w:asciiTheme="minorHAnsi" w:hAnsiTheme="minorHAnsi" w:cstheme="minorHAnsi"/>
          <w:sz w:val="22"/>
          <w:szCs w:val="22"/>
        </w:rPr>
        <w:t>The Clearinghouse contains records of violations of drug and alcohol prohibitions in 49 CFR Part 382, Subpart B, including positive drug or alcohol test results and test refusals. When a driver completes the return-to-duty (RTD) process and follow-up testing plan, this information is also recorded in the Clearinghouse.</w:t>
      </w:r>
    </w:p>
    <w:p w14:paraId="55928BC6" w14:textId="77777777" w:rsidR="00AC07C0" w:rsidRPr="003C702C" w:rsidRDefault="00AC07C0" w:rsidP="003C702C"/>
    <w:sectPr w:rsidR="00AC07C0" w:rsidRPr="003C702C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37FF9"/>
    <w:rsid w:val="00046F1B"/>
    <w:rsid w:val="000A00A4"/>
    <w:rsid w:val="00135E6C"/>
    <w:rsid w:val="001C1FFE"/>
    <w:rsid w:val="001E3266"/>
    <w:rsid w:val="00253D18"/>
    <w:rsid w:val="002D5D65"/>
    <w:rsid w:val="003C702C"/>
    <w:rsid w:val="003E085B"/>
    <w:rsid w:val="0040553F"/>
    <w:rsid w:val="00445121"/>
    <w:rsid w:val="005930AA"/>
    <w:rsid w:val="00630A76"/>
    <w:rsid w:val="0067786F"/>
    <w:rsid w:val="008E5ECD"/>
    <w:rsid w:val="009304DE"/>
    <w:rsid w:val="00A93F24"/>
    <w:rsid w:val="00AC07C0"/>
    <w:rsid w:val="00AF1165"/>
    <w:rsid w:val="00B55974"/>
    <w:rsid w:val="00BE7352"/>
    <w:rsid w:val="00C07DBF"/>
    <w:rsid w:val="00D32C02"/>
    <w:rsid w:val="00DB7F1C"/>
    <w:rsid w:val="00E05430"/>
    <w:rsid w:val="00E82851"/>
    <w:rsid w:val="00EB1625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styleId="TableGrid">
    <w:name w:val="Table Grid"/>
    <w:basedOn w:val="TableNormal"/>
    <w:uiPriority w:val="39"/>
    <w:rsid w:val="00AC07C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1F691-AA84-4A2D-9978-342745418460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0C4EA981-8CEE-45EE-BD72-29B39902C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2A4EB-6227-4B63-A3D1-D422BFC83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02BB5E-C6E6-414C-958C-2A92A170C1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A8687E7-6BE1-8F47-8D89-35427660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7</cp:revision>
  <dcterms:created xsi:type="dcterms:W3CDTF">2020-02-14T13:28:00Z</dcterms:created>
  <dcterms:modified xsi:type="dcterms:W3CDTF">2020-02-27T18:56:00Z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